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EF63" w14:textId="6971C8EC" w:rsidR="00ED4C1B" w:rsidRPr="00E17FBC" w:rsidRDefault="00ED4C1B" w:rsidP="00ED4C1B">
      <w:pPr>
        <w:jc w:val="center"/>
        <w:rPr>
          <w:b/>
          <w:bCs/>
          <w:sz w:val="22"/>
          <w:szCs w:val="22"/>
        </w:rPr>
      </w:pPr>
      <w:r w:rsidRPr="00E17FBC">
        <w:rPr>
          <w:b/>
          <w:bCs/>
          <w:sz w:val="22"/>
          <w:szCs w:val="22"/>
        </w:rPr>
        <w:t>Costs Involved in the Education of Children in Wisconsin</w:t>
      </w:r>
    </w:p>
    <w:p w14:paraId="299D7BBF" w14:textId="06E40382" w:rsidR="00ED4C1B" w:rsidRPr="00E17FBC" w:rsidRDefault="009570B6" w:rsidP="009570B6">
      <w:pPr>
        <w:rPr>
          <w:b/>
          <w:bCs/>
          <w:sz w:val="22"/>
          <w:szCs w:val="22"/>
        </w:rPr>
      </w:pPr>
      <w:r w:rsidRPr="00E17FBC">
        <w:rPr>
          <w:b/>
          <w:bCs/>
          <w:sz w:val="22"/>
          <w:szCs w:val="22"/>
        </w:rPr>
        <w:t>There are 2,276 public schools in Wisconsin distributed in 467 school districts. A total of 853,348 students </w:t>
      </w:r>
      <w:proofErr w:type="gramStart"/>
      <w:r w:rsidRPr="00E17FBC">
        <w:rPr>
          <w:b/>
          <w:bCs/>
          <w:sz w:val="22"/>
          <w:szCs w:val="22"/>
        </w:rPr>
        <w:t>attend</w:t>
      </w:r>
      <w:proofErr w:type="gramEnd"/>
      <w:r w:rsidRPr="00E17FBC">
        <w:rPr>
          <w:b/>
          <w:bCs/>
          <w:sz w:val="22"/>
          <w:szCs w:val="22"/>
        </w:rPr>
        <w:t xml:space="preserve"> Wisconsin schools and 60,296 teachers work for the schools.</w:t>
      </w:r>
      <w:r w:rsidR="00C10DA0" w:rsidRPr="00E17FBC">
        <w:rPr>
          <w:b/>
          <w:bCs/>
          <w:sz w:val="22"/>
          <w:szCs w:val="22"/>
        </w:rPr>
        <w:t xml:space="preserve"> </w:t>
      </w:r>
      <w:r w:rsidR="00012362" w:rsidRPr="00E17FBC">
        <w:rPr>
          <w:b/>
          <w:bCs/>
          <w:sz w:val="22"/>
          <w:szCs w:val="22"/>
        </w:rPr>
        <w:t xml:space="preserve"> (</w:t>
      </w:r>
      <w:r w:rsidR="00C10DA0" w:rsidRPr="00E17FBC">
        <w:rPr>
          <w:b/>
          <w:bCs/>
          <w:sz w:val="22"/>
          <w:szCs w:val="22"/>
        </w:rPr>
        <w:t>www.univstats.com</w:t>
      </w:r>
      <w:r w:rsidR="00012362" w:rsidRPr="00E17FBC">
        <w:rPr>
          <w:b/>
          <w:bCs/>
          <w:sz w:val="22"/>
          <w:szCs w:val="22"/>
        </w:rPr>
        <w:t>)</w:t>
      </w:r>
    </w:p>
    <w:p w14:paraId="6C3A7A45" w14:textId="39EB750D" w:rsidR="00ED4C1B" w:rsidRPr="00E17FBC" w:rsidRDefault="00ED4C1B" w:rsidP="00E17FBC">
      <w:pPr>
        <w:rPr>
          <w:b/>
          <w:bCs/>
          <w:sz w:val="22"/>
          <w:szCs w:val="22"/>
        </w:rPr>
      </w:pPr>
      <w:r w:rsidRPr="00E17FBC">
        <w:rPr>
          <w:b/>
          <w:bCs/>
          <w:sz w:val="22"/>
          <w:szCs w:val="22"/>
        </w:rPr>
        <w:t>There are four private school choice options in Wisconsin paid for by Wisconsin taxpayers.  This funding comes directly from each public school district in the state.</w:t>
      </w:r>
    </w:p>
    <w:tbl>
      <w:tblPr>
        <w:tblStyle w:val="TableGrid"/>
        <w:tblW w:w="0" w:type="auto"/>
        <w:tblLook w:val="04A0" w:firstRow="1" w:lastRow="0" w:firstColumn="1" w:lastColumn="0" w:noHBand="0" w:noVBand="1"/>
      </w:tblPr>
      <w:tblGrid>
        <w:gridCol w:w="1345"/>
        <w:gridCol w:w="1210"/>
        <w:gridCol w:w="1511"/>
        <w:gridCol w:w="1489"/>
        <w:gridCol w:w="1508"/>
        <w:gridCol w:w="1489"/>
        <w:gridCol w:w="1124"/>
      </w:tblGrid>
      <w:tr w:rsidR="007E679C" w:rsidRPr="00E17FBC" w14:paraId="0FA73C76" w14:textId="3ABD9783" w:rsidTr="007E679C">
        <w:tc>
          <w:tcPr>
            <w:tcW w:w="1345" w:type="dxa"/>
          </w:tcPr>
          <w:p w14:paraId="38C10C69" w14:textId="13D92C1C" w:rsidR="00C819A9" w:rsidRPr="00E17FBC" w:rsidRDefault="00C819A9" w:rsidP="00ED4C1B">
            <w:pPr>
              <w:jc w:val="center"/>
              <w:rPr>
                <w:b/>
                <w:bCs/>
                <w:sz w:val="22"/>
                <w:szCs w:val="22"/>
              </w:rPr>
            </w:pPr>
            <w:r w:rsidRPr="00E17FBC">
              <w:rPr>
                <w:b/>
                <w:bCs/>
                <w:sz w:val="22"/>
                <w:szCs w:val="22"/>
              </w:rPr>
              <w:t>Year</w:t>
            </w:r>
          </w:p>
        </w:tc>
        <w:tc>
          <w:tcPr>
            <w:tcW w:w="884" w:type="dxa"/>
          </w:tcPr>
          <w:p w14:paraId="6105E086" w14:textId="254DEC2D" w:rsidR="00C819A9" w:rsidRPr="00E17FBC" w:rsidRDefault="00C819A9" w:rsidP="00ED4C1B">
            <w:pPr>
              <w:jc w:val="center"/>
              <w:rPr>
                <w:b/>
                <w:bCs/>
                <w:sz w:val="22"/>
                <w:szCs w:val="22"/>
              </w:rPr>
            </w:pPr>
            <w:r w:rsidRPr="00E17FBC">
              <w:rPr>
                <w:b/>
                <w:bCs/>
                <w:sz w:val="22"/>
                <w:szCs w:val="22"/>
              </w:rPr>
              <w:t>Total Number of Private Schools Funded by Taxpayers</w:t>
            </w:r>
          </w:p>
        </w:tc>
        <w:tc>
          <w:tcPr>
            <w:tcW w:w="1511" w:type="dxa"/>
          </w:tcPr>
          <w:p w14:paraId="3DF46848" w14:textId="6BE3FFAB" w:rsidR="00C819A9" w:rsidRPr="00E17FBC" w:rsidRDefault="00C819A9" w:rsidP="00ED4C1B">
            <w:pPr>
              <w:jc w:val="center"/>
              <w:rPr>
                <w:b/>
                <w:bCs/>
                <w:sz w:val="22"/>
                <w:szCs w:val="22"/>
              </w:rPr>
            </w:pPr>
            <w:r w:rsidRPr="00E17FBC">
              <w:rPr>
                <w:b/>
                <w:bCs/>
                <w:sz w:val="22"/>
                <w:szCs w:val="22"/>
              </w:rPr>
              <w:t>Milwaukee Parental Choice Program</w:t>
            </w:r>
          </w:p>
          <w:p w14:paraId="32287A0C" w14:textId="77777777" w:rsidR="00C819A9" w:rsidRPr="00E17FBC" w:rsidRDefault="00C819A9" w:rsidP="00ED4C1B">
            <w:pPr>
              <w:jc w:val="center"/>
              <w:rPr>
                <w:b/>
                <w:bCs/>
                <w:sz w:val="22"/>
                <w:szCs w:val="22"/>
              </w:rPr>
            </w:pPr>
            <w:r w:rsidRPr="00E17FBC">
              <w:rPr>
                <w:b/>
                <w:bCs/>
                <w:sz w:val="22"/>
                <w:szCs w:val="22"/>
              </w:rPr>
              <w:t>(MPCP}</w:t>
            </w:r>
          </w:p>
          <w:p w14:paraId="3983605A" w14:textId="4C0BF651" w:rsidR="00C819A9" w:rsidRPr="00E17FBC" w:rsidRDefault="00C819A9" w:rsidP="00ED4C1B">
            <w:pPr>
              <w:jc w:val="center"/>
              <w:rPr>
                <w:b/>
                <w:bCs/>
                <w:sz w:val="22"/>
                <w:szCs w:val="22"/>
              </w:rPr>
            </w:pPr>
            <w:r w:rsidRPr="00E17FBC">
              <w:rPr>
                <w:b/>
                <w:bCs/>
                <w:sz w:val="22"/>
                <w:szCs w:val="22"/>
              </w:rPr>
              <w:t>Student Participants</w:t>
            </w:r>
          </w:p>
        </w:tc>
        <w:tc>
          <w:tcPr>
            <w:tcW w:w="1489" w:type="dxa"/>
          </w:tcPr>
          <w:p w14:paraId="00143737" w14:textId="2FC25679" w:rsidR="00C819A9" w:rsidRPr="00E17FBC" w:rsidRDefault="00C819A9" w:rsidP="00ED4C1B">
            <w:pPr>
              <w:jc w:val="center"/>
              <w:rPr>
                <w:b/>
                <w:bCs/>
                <w:sz w:val="22"/>
                <w:szCs w:val="22"/>
              </w:rPr>
            </w:pPr>
            <w:r w:rsidRPr="00E17FBC">
              <w:rPr>
                <w:b/>
                <w:bCs/>
                <w:sz w:val="22"/>
                <w:szCs w:val="22"/>
              </w:rPr>
              <w:t xml:space="preserve">Racine </w:t>
            </w:r>
            <w:r w:rsidRPr="00E17FBC">
              <w:rPr>
                <w:b/>
                <w:bCs/>
                <w:sz w:val="22"/>
                <w:szCs w:val="22"/>
              </w:rPr>
              <w:t>Parental</w:t>
            </w:r>
            <w:r w:rsidRPr="00E17FBC">
              <w:rPr>
                <w:b/>
                <w:bCs/>
                <w:sz w:val="22"/>
                <w:szCs w:val="22"/>
              </w:rPr>
              <w:t xml:space="preserve"> Choice Program </w:t>
            </w:r>
            <w:r w:rsidRPr="00E17FBC">
              <w:rPr>
                <w:b/>
                <w:bCs/>
                <w:sz w:val="22"/>
                <w:szCs w:val="22"/>
              </w:rPr>
              <w:t>Student Participants</w:t>
            </w:r>
          </w:p>
        </w:tc>
        <w:tc>
          <w:tcPr>
            <w:tcW w:w="1508" w:type="dxa"/>
          </w:tcPr>
          <w:p w14:paraId="2296D648" w14:textId="2E697F52" w:rsidR="00C819A9" w:rsidRPr="00E17FBC" w:rsidRDefault="00C819A9" w:rsidP="00ED4C1B">
            <w:pPr>
              <w:jc w:val="center"/>
              <w:rPr>
                <w:b/>
                <w:bCs/>
                <w:sz w:val="22"/>
                <w:szCs w:val="22"/>
              </w:rPr>
            </w:pPr>
            <w:r w:rsidRPr="00E17FBC">
              <w:rPr>
                <w:b/>
                <w:bCs/>
                <w:sz w:val="22"/>
                <w:szCs w:val="22"/>
              </w:rPr>
              <w:t xml:space="preserve">Wisconsin </w:t>
            </w:r>
            <w:r w:rsidRPr="00E17FBC">
              <w:rPr>
                <w:b/>
                <w:bCs/>
                <w:sz w:val="22"/>
                <w:szCs w:val="22"/>
              </w:rPr>
              <w:t>Parental</w:t>
            </w:r>
            <w:r w:rsidRPr="00E17FBC">
              <w:rPr>
                <w:b/>
                <w:bCs/>
                <w:sz w:val="22"/>
                <w:szCs w:val="22"/>
              </w:rPr>
              <w:t xml:space="preserve"> Choice Program </w:t>
            </w:r>
            <w:r w:rsidRPr="00E17FBC">
              <w:rPr>
                <w:b/>
                <w:bCs/>
                <w:sz w:val="22"/>
                <w:szCs w:val="22"/>
              </w:rPr>
              <w:t>Student Participants</w:t>
            </w:r>
          </w:p>
        </w:tc>
        <w:tc>
          <w:tcPr>
            <w:tcW w:w="1489" w:type="dxa"/>
          </w:tcPr>
          <w:p w14:paraId="289ABED0" w14:textId="43106029" w:rsidR="00C819A9" w:rsidRPr="00E17FBC" w:rsidRDefault="00C819A9" w:rsidP="00ED4C1B">
            <w:pPr>
              <w:jc w:val="center"/>
              <w:rPr>
                <w:b/>
                <w:bCs/>
                <w:sz w:val="22"/>
                <w:szCs w:val="22"/>
              </w:rPr>
            </w:pPr>
            <w:r w:rsidRPr="00E17FBC">
              <w:rPr>
                <w:b/>
                <w:bCs/>
                <w:sz w:val="22"/>
                <w:szCs w:val="22"/>
              </w:rPr>
              <w:t xml:space="preserve">Special Needs Scholarship Program </w:t>
            </w:r>
            <w:r w:rsidRPr="00E17FBC">
              <w:rPr>
                <w:b/>
                <w:bCs/>
                <w:sz w:val="22"/>
                <w:szCs w:val="22"/>
              </w:rPr>
              <w:t>Student Participants</w:t>
            </w:r>
          </w:p>
        </w:tc>
        <w:tc>
          <w:tcPr>
            <w:tcW w:w="1124" w:type="dxa"/>
          </w:tcPr>
          <w:p w14:paraId="166A4B0B" w14:textId="30325E33" w:rsidR="00C819A9" w:rsidRPr="00E17FBC" w:rsidRDefault="00C819A9" w:rsidP="00ED4C1B">
            <w:pPr>
              <w:jc w:val="center"/>
              <w:rPr>
                <w:b/>
                <w:bCs/>
                <w:sz w:val="22"/>
                <w:szCs w:val="22"/>
              </w:rPr>
            </w:pPr>
            <w:r w:rsidRPr="00E17FBC">
              <w:rPr>
                <w:b/>
                <w:bCs/>
                <w:sz w:val="22"/>
                <w:szCs w:val="22"/>
              </w:rPr>
              <w:t>Total Number of Students</w:t>
            </w:r>
          </w:p>
        </w:tc>
      </w:tr>
      <w:tr w:rsidR="007E679C" w:rsidRPr="00E17FBC" w14:paraId="57A3B7A0" w14:textId="06CD9F4B" w:rsidTr="007E679C">
        <w:tc>
          <w:tcPr>
            <w:tcW w:w="1345" w:type="dxa"/>
          </w:tcPr>
          <w:p w14:paraId="1DC733BD" w14:textId="79782685" w:rsidR="00C819A9" w:rsidRPr="00E17FBC" w:rsidRDefault="00C819A9" w:rsidP="00ED4C1B">
            <w:pPr>
              <w:jc w:val="center"/>
              <w:rPr>
                <w:b/>
                <w:bCs/>
                <w:sz w:val="22"/>
                <w:szCs w:val="22"/>
              </w:rPr>
            </w:pPr>
            <w:r w:rsidRPr="00E17FBC">
              <w:rPr>
                <w:b/>
                <w:bCs/>
                <w:sz w:val="22"/>
                <w:szCs w:val="22"/>
              </w:rPr>
              <w:t>2016-17</w:t>
            </w:r>
          </w:p>
        </w:tc>
        <w:tc>
          <w:tcPr>
            <w:tcW w:w="884" w:type="dxa"/>
          </w:tcPr>
          <w:p w14:paraId="7E18AE53" w14:textId="029C68C0" w:rsidR="00C819A9" w:rsidRPr="00E17FBC" w:rsidRDefault="00C819A9" w:rsidP="00ED4C1B">
            <w:pPr>
              <w:jc w:val="center"/>
              <w:rPr>
                <w:b/>
                <w:bCs/>
                <w:sz w:val="22"/>
                <w:szCs w:val="22"/>
              </w:rPr>
            </w:pPr>
            <w:r w:rsidRPr="00E17FBC">
              <w:rPr>
                <w:b/>
                <w:bCs/>
                <w:sz w:val="22"/>
                <w:szCs w:val="22"/>
              </w:rPr>
              <w:t>212</w:t>
            </w:r>
          </w:p>
        </w:tc>
        <w:tc>
          <w:tcPr>
            <w:tcW w:w="1511" w:type="dxa"/>
          </w:tcPr>
          <w:p w14:paraId="13E4B019" w14:textId="17E89A79" w:rsidR="00C819A9" w:rsidRPr="00E17FBC" w:rsidRDefault="00C819A9" w:rsidP="00ED4C1B">
            <w:pPr>
              <w:jc w:val="center"/>
              <w:rPr>
                <w:b/>
                <w:bCs/>
                <w:sz w:val="22"/>
                <w:szCs w:val="22"/>
              </w:rPr>
            </w:pPr>
            <w:r w:rsidRPr="00E17FBC">
              <w:rPr>
                <w:b/>
                <w:bCs/>
                <w:sz w:val="22"/>
                <w:szCs w:val="22"/>
              </w:rPr>
              <w:t>27,102</w:t>
            </w:r>
          </w:p>
        </w:tc>
        <w:tc>
          <w:tcPr>
            <w:tcW w:w="1489" w:type="dxa"/>
          </w:tcPr>
          <w:p w14:paraId="474471FE" w14:textId="28B9E1C6" w:rsidR="00C819A9" w:rsidRPr="00E17FBC" w:rsidRDefault="00C819A9" w:rsidP="00ED4C1B">
            <w:pPr>
              <w:jc w:val="center"/>
              <w:rPr>
                <w:b/>
                <w:bCs/>
                <w:sz w:val="22"/>
                <w:szCs w:val="22"/>
              </w:rPr>
            </w:pPr>
            <w:r w:rsidRPr="00E17FBC">
              <w:rPr>
                <w:b/>
                <w:bCs/>
                <w:sz w:val="22"/>
                <w:szCs w:val="22"/>
              </w:rPr>
              <w:t>2462</w:t>
            </w:r>
          </w:p>
        </w:tc>
        <w:tc>
          <w:tcPr>
            <w:tcW w:w="1508" w:type="dxa"/>
          </w:tcPr>
          <w:p w14:paraId="27D5FEFB" w14:textId="73179E21" w:rsidR="00C819A9" w:rsidRPr="00E17FBC" w:rsidRDefault="00C819A9" w:rsidP="00ED4C1B">
            <w:pPr>
              <w:jc w:val="center"/>
              <w:rPr>
                <w:b/>
                <w:bCs/>
                <w:sz w:val="22"/>
                <w:szCs w:val="22"/>
              </w:rPr>
            </w:pPr>
            <w:r w:rsidRPr="00E17FBC">
              <w:rPr>
                <w:b/>
                <w:bCs/>
                <w:sz w:val="22"/>
                <w:szCs w:val="22"/>
              </w:rPr>
              <w:t>2990</w:t>
            </w:r>
          </w:p>
        </w:tc>
        <w:tc>
          <w:tcPr>
            <w:tcW w:w="1489" w:type="dxa"/>
          </w:tcPr>
          <w:p w14:paraId="61BD6132" w14:textId="1459B0B5" w:rsidR="00C819A9" w:rsidRPr="00E17FBC" w:rsidRDefault="00C819A9" w:rsidP="00ED4C1B">
            <w:pPr>
              <w:jc w:val="center"/>
              <w:rPr>
                <w:b/>
                <w:bCs/>
                <w:sz w:val="22"/>
                <w:szCs w:val="22"/>
              </w:rPr>
            </w:pPr>
            <w:r w:rsidRPr="00E17FBC">
              <w:rPr>
                <w:b/>
                <w:bCs/>
                <w:sz w:val="22"/>
                <w:szCs w:val="22"/>
              </w:rPr>
              <w:t>201</w:t>
            </w:r>
          </w:p>
        </w:tc>
        <w:tc>
          <w:tcPr>
            <w:tcW w:w="1124" w:type="dxa"/>
          </w:tcPr>
          <w:p w14:paraId="1964BFDD" w14:textId="55525316" w:rsidR="00C819A9" w:rsidRPr="00E17FBC" w:rsidRDefault="00C819A9" w:rsidP="00ED4C1B">
            <w:pPr>
              <w:jc w:val="center"/>
              <w:rPr>
                <w:b/>
                <w:bCs/>
                <w:sz w:val="22"/>
                <w:szCs w:val="22"/>
              </w:rPr>
            </w:pPr>
            <w:r w:rsidRPr="00E17FBC">
              <w:rPr>
                <w:b/>
                <w:bCs/>
                <w:sz w:val="22"/>
                <w:szCs w:val="22"/>
              </w:rPr>
              <w:t>23,756</w:t>
            </w:r>
          </w:p>
        </w:tc>
      </w:tr>
      <w:tr w:rsidR="007E679C" w:rsidRPr="00E17FBC" w14:paraId="22AD52B6" w14:textId="49213CEE" w:rsidTr="007E679C">
        <w:tc>
          <w:tcPr>
            <w:tcW w:w="1345" w:type="dxa"/>
          </w:tcPr>
          <w:p w14:paraId="3EC86A2A" w14:textId="171169BF" w:rsidR="00C819A9" w:rsidRPr="00E17FBC" w:rsidRDefault="00C819A9" w:rsidP="00ED4C1B">
            <w:pPr>
              <w:jc w:val="center"/>
              <w:rPr>
                <w:b/>
                <w:bCs/>
                <w:sz w:val="22"/>
                <w:szCs w:val="22"/>
              </w:rPr>
            </w:pPr>
            <w:r w:rsidRPr="00E17FBC">
              <w:rPr>
                <w:b/>
                <w:bCs/>
                <w:sz w:val="22"/>
                <w:szCs w:val="22"/>
              </w:rPr>
              <w:t>2020-21</w:t>
            </w:r>
          </w:p>
        </w:tc>
        <w:tc>
          <w:tcPr>
            <w:tcW w:w="884" w:type="dxa"/>
          </w:tcPr>
          <w:p w14:paraId="299D9C75" w14:textId="5173C584" w:rsidR="00C819A9" w:rsidRPr="00E17FBC" w:rsidRDefault="00C819A9" w:rsidP="00ED4C1B">
            <w:pPr>
              <w:jc w:val="center"/>
              <w:rPr>
                <w:b/>
                <w:bCs/>
                <w:sz w:val="22"/>
                <w:szCs w:val="22"/>
              </w:rPr>
            </w:pPr>
            <w:r w:rsidRPr="00E17FBC">
              <w:rPr>
                <w:b/>
                <w:bCs/>
                <w:sz w:val="22"/>
                <w:szCs w:val="22"/>
              </w:rPr>
              <w:t>343</w:t>
            </w:r>
          </w:p>
        </w:tc>
        <w:tc>
          <w:tcPr>
            <w:tcW w:w="1511" w:type="dxa"/>
          </w:tcPr>
          <w:p w14:paraId="1E880E1F" w14:textId="517AD777" w:rsidR="00C819A9" w:rsidRPr="00E17FBC" w:rsidRDefault="00C819A9" w:rsidP="00ED4C1B">
            <w:pPr>
              <w:jc w:val="center"/>
              <w:rPr>
                <w:b/>
                <w:bCs/>
                <w:sz w:val="22"/>
                <w:szCs w:val="22"/>
              </w:rPr>
            </w:pPr>
            <w:r w:rsidRPr="00E17FBC">
              <w:rPr>
                <w:b/>
                <w:bCs/>
                <w:sz w:val="22"/>
                <w:szCs w:val="22"/>
              </w:rPr>
              <w:t>27,751</w:t>
            </w:r>
          </w:p>
        </w:tc>
        <w:tc>
          <w:tcPr>
            <w:tcW w:w="1489" w:type="dxa"/>
          </w:tcPr>
          <w:p w14:paraId="64927807" w14:textId="1FF45489" w:rsidR="00C819A9" w:rsidRPr="00E17FBC" w:rsidRDefault="00C819A9" w:rsidP="00ED4C1B">
            <w:pPr>
              <w:jc w:val="center"/>
              <w:rPr>
                <w:b/>
                <w:bCs/>
                <w:sz w:val="22"/>
                <w:szCs w:val="22"/>
              </w:rPr>
            </w:pPr>
            <w:r w:rsidRPr="00E17FBC">
              <w:rPr>
                <w:b/>
                <w:bCs/>
                <w:sz w:val="22"/>
                <w:szCs w:val="22"/>
              </w:rPr>
              <w:t>3772</w:t>
            </w:r>
          </w:p>
        </w:tc>
        <w:tc>
          <w:tcPr>
            <w:tcW w:w="1508" w:type="dxa"/>
          </w:tcPr>
          <w:p w14:paraId="62138A4B" w14:textId="70A8E351" w:rsidR="00C819A9" w:rsidRPr="00E17FBC" w:rsidRDefault="00C819A9" w:rsidP="00ED4C1B">
            <w:pPr>
              <w:jc w:val="center"/>
              <w:rPr>
                <w:b/>
                <w:bCs/>
                <w:sz w:val="22"/>
                <w:szCs w:val="22"/>
              </w:rPr>
            </w:pPr>
            <w:r w:rsidRPr="00E17FBC">
              <w:rPr>
                <w:b/>
                <w:bCs/>
                <w:sz w:val="22"/>
                <w:szCs w:val="22"/>
              </w:rPr>
              <w:t>11,719</w:t>
            </w:r>
          </w:p>
        </w:tc>
        <w:tc>
          <w:tcPr>
            <w:tcW w:w="1489" w:type="dxa"/>
          </w:tcPr>
          <w:p w14:paraId="669DB8B4" w14:textId="26B072A3" w:rsidR="00C819A9" w:rsidRPr="00E17FBC" w:rsidRDefault="00C819A9" w:rsidP="00ED4C1B">
            <w:pPr>
              <w:jc w:val="center"/>
              <w:rPr>
                <w:b/>
                <w:bCs/>
                <w:sz w:val="22"/>
                <w:szCs w:val="22"/>
              </w:rPr>
            </w:pPr>
            <w:r w:rsidRPr="00E17FBC">
              <w:rPr>
                <w:b/>
                <w:bCs/>
                <w:sz w:val="22"/>
                <w:szCs w:val="22"/>
              </w:rPr>
              <w:t>1394</w:t>
            </w:r>
          </w:p>
        </w:tc>
        <w:tc>
          <w:tcPr>
            <w:tcW w:w="1124" w:type="dxa"/>
          </w:tcPr>
          <w:p w14:paraId="1B2B406B" w14:textId="524A5659" w:rsidR="00C819A9" w:rsidRPr="00E17FBC" w:rsidRDefault="00C819A9" w:rsidP="00ED4C1B">
            <w:pPr>
              <w:jc w:val="center"/>
              <w:rPr>
                <w:b/>
                <w:bCs/>
                <w:sz w:val="22"/>
                <w:szCs w:val="22"/>
              </w:rPr>
            </w:pPr>
            <w:r w:rsidRPr="00E17FBC">
              <w:rPr>
                <w:b/>
                <w:bCs/>
                <w:sz w:val="22"/>
                <w:szCs w:val="22"/>
              </w:rPr>
              <w:t>44,673</w:t>
            </w:r>
          </w:p>
        </w:tc>
      </w:tr>
      <w:tr w:rsidR="007E679C" w:rsidRPr="00E17FBC" w14:paraId="6E92806B" w14:textId="6553070F" w:rsidTr="007E679C">
        <w:tc>
          <w:tcPr>
            <w:tcW w:w="1345" w:type="dxa"/>
          </w:tcPr>
          <w:p w14:paraId="6E4AE66F" w14:textId="3D9A9914" w:rsidR="00C819A9" w:rsidRPr="00E17FBC" w:rsidRDefault="00C819A9" w:rsidP="00ED4C1B">
            <w:pPr>
              <w:jc w:val="center"/>
              <w:rPr>
                <w:b/>
                <w:bCs/>
                <w:sz w:val="22"/>
                <w:szCs w:val="22"/>
              </w:rPr>
            </w:pPr>
            <w:r w:rsidRPr="00E17FBC">
              <w:rPr>
                <w:b/>
                <w:bCs/>
                <w:sz w:val="22"/>
                <w:szCs w:val="22"/>
              </w:rPr>
              <w:t>2024-25</w:t>
            </w:r>
          </w:p>
        </w:tc>
        <w:tc>
          <w:tcPr>
            <w:tcW w:w="884" w:type="dxa"/>
          </w:tcPr>
          <w:p w14:paraId="4A7713C1" w14:textId="4217FF69" w:rsidR="00C819A9" w:rsidRPr="00E17FBC" w:rsidRDefault="00C819A9" w:rsidP="00ED4C1B">
            <w:pPr>
              <w:jc w:val="center"/>
              <w:rPr>
                <w:b/>
                <w:bCs/>
                <w:sz w:val="22"/>
                <w:szCs w:val="22"/>
              </w:rPr>
            </w:pPr>
            <w:r w:rsidRPr="00E17FBC">
              <w:rPr>
                <w:b/>
                <w:bCs/>
                <w:sz w:val="22"/>
                <w:szCs w:val="22"/>
              </w:rPr>
              <w:t>403</w:t>
            </w:r>
          </w:p>
        </w:tc>
        <w:tc>
          <w:tcPr>
            <w:tcW w:w="1511" w:type="dxa"/>
          </w:tcPr>
          <w:p w14:paraId="553DAE73" w14:textId="58D017EA" w:rsidR="00C819A9" w:rsidRPr="00E17FBC" w:rsidRDefault="00C819A9" w:rsidP="00ED4C1B">
            <w:pPr>
              <w:jc w:val="center"/>
              <w:rPr>
                <w:b/>
                <w:bCs/>
                <w:sz w:val="22"/>
                <w:szCs w:val="22"/>
              </w:rPr>
            </w:pPr>
            <w:r w:rsidRPr="00E17FBC">
              <w:rPr>
                <w:b/>
                <w:bCs/>
                <w:sz w:val="22"/>
                <w:szCs w:val="22"/>
              </w:rPr>
              <w:t>28,937</w:t>
            </w:r>
          </w:p>
        </w:tc>
        <w:tc>
          <w:tcPr>
            <w:tcW w:w="1489" w:type="dxa"/>
          </w:tcPr>
          <w:p w14:paraId="3A5A5BBA" w14:textId="5255DB32" w:rsidR="00C819A9" w:rsidRPr="00E17FBC" w:rsidRDefault="00C819A9" w:rsidP="00ED4C1B">
            <w:pPr>
              <w:jc w:val="center"/>
              <w:rPr>
                <w:b/>
                <w:bCs/>
                <w:sz w:val="22"/>
                <w:szCs w:val="22"/>
              </w:rPr>
            </w:pPr>
            <w:r w:rsidRPr="00E17FBC">
              <w:rPr>
                <w:b/>
                <w:bCs/>
                <w:sz w:val="22"/>
                <w:szCs w:val="22"/>
              </w:rPr>
              <w:t>4073</w:t>
            </w:r>
          </w:p>
        </w:tc>
        <w:tc>
          <w:tcPr>
            <w:tcW w:w="1508" w:type="dxa"/>
          </w:tcPr>
          <w:p w14:paraId="377DC244" w14:textId="43D41D70" w:rsidR="00C819A9" w:rsidRPr="00E17FBC" w:rsidRDefault="00C819A9" w:rsidP="00ED4C1B">
            <w:pPr>
              <w:jc w:val="center"/>
              <w:rPr>
                <w:b/>
                <w:bCs/>
                <w:sz w:val="22"/>
                <w:szCs w:val="22"/>
              </w:rPr>
            </w:pPr>
            <w:r w:rsidRPr="00E17FBC">
              <w:rPr>
                <w:b/>
                <w:bCs/>
                <w:sz w:val="22"/>
                <w:szCs w:val="22"/>
              </w:rPr>
              <w:t>21,056</w:t>
            </w:r>
          </w:p>
        </w:tc>
        <w:tc>
          <w:tcPr>
            <w:tcW w:w="1489" w:type="dxa"/>
          </w:tcPr>
          <w:p w14:paraId="2D503F50" w14:textId="6E90AA5C" w:rsidR="00C819A9" w:rsidRPr="00E17FBC" w:rsidRDefault="00C819A9" w:rsidP="00ED4C1B">
            <w:pPr>
              <w:jc w:val="center"/>
              <w:rPr>
                <w:b/>
                <w:bCs/>
                <w:sz w:val="22"/>
                <w:szCs w:val="22"/>
              </w:rPr>
            </w:pPr>
            <w:r w:rsidRPr="00E17FBC">
              <w:rPr>
                <w:b/>
                <w:bCs/>
                <w:sz w:val="22"/>
                <w:szCs w:val="22"/>
              </w:rPr>
              <w:t>3001</w:t>
            </w:r>
          </w:p>
        </w:tc>
        <w:tc>
          <w:tcPr>
            <w:tcW w:w="1124" w:type="dxa"/>
          </w:tcPr>
          <w:p w14:paraId="3D42C183" w14:textId="55E060BB" w:rsidR="00C819A9" w:rsidRPr="00E17FBC" w:rsidRDefault="00C819A9" w:rsidP="00ED4C1B">
            <w:pPr>
              <w:jc w:val="center"/>
              <w:rPr>
                <w:b/>
                <w:bCs/>
                <w:sz w:val="22"/>
                <w:szCs w:val="22"/>
              </w:rPr>
            </w:pPr>
            <w:r w:rsidRPr="00E17FBC">
              <w:rPr>
                <w:b/>
                <w:bCs/>
                <w:sz w:val="22"/>
                <w:szCs w:val="22"/>
              </w:rPr>
              <w:t>57</w:t>
            </w:r>
            <w:r w:rsidR="00693F05" w:rsidRPr="00E17FBC">
              <w:rPr>
                <w:b/>
                <w:bCs/>
                <w:sz w:val="22"/>
                <w:szCs w:val="22"/>
              </w:rPr>
              <w:t>,</w:t>
            </w:r>
            <w:r w:rsidRPr="00E17FBC">
              <w:rPr>
                <w:b/>
                <w:bCs/>
                <w:sz w:val="22"/>
                <w:szCs w:val="22"/>
              </w:rPr>
              <w:t>068</w:t>
            </w:r>
          </w:p>
        </w:tc>
      </w:tr>
    </w:tbl>
    <w:p w14:paraId="1180DB8B" w14:textId="3066521F" w:rsidR="00ED4C1B" w:rsidRPr="00E17FBC" w:rsidRDefault="00ED4C1B" w:rsidP="00ED4C1B">
      <w:pPr>
        <w:jc w:val="center"/>
        <w:rPr>
          <w:b/>
          <w:bCs/>
          <w:sz w:val="22"/>
          <w:szCs w:val="22"/>
        </w:rPr>
      </w:pPr>
    </w:p>
    <w:tbl>
      <w:tblPr>
        <w:tblStyle w:val="TableGrid"/>
        <w:tblW w:w="9350" w:type="dxa"/>
        <w:tblLook w:val="04A0" w:firstRow="1" w:lastRow="0" w:firstColumn="1" w:lastColumn="0" w:noHBand="0" w:noVBand="1"/>
      </w:tblPr>
      <w:tblGrid>
        <w:gridCol w:w="4675"/>
        <w:gridCol w:w="4675"/>
      </w:tblGrid>
      <w:tr w:rsidR="00C819A9" w:rsidRPr="00E17FBC" w14:paraId="2315253F" w14:textId="77777777" w:rsidTr="00C819A9">
        <w:tc>
          <w:tcPr>
            <w:tcW w:w="4675" w:type="dxa"/>
          </w:tcPr>
          <w:p w14:paraId="451F0186" w14:textId="51332B64" w:rsidR="00C819A9" w:rsidRPr="00E17FBC" w:rsidRDefault="00C819A9" w:rsidP="00C819A9">
            <w:pPr>
              <w:jc w:val="center"/>
              <w:rPr>
                <w:b/>
                <w:bCs/>
                <w:sz w:val="22"/>
                <w:szCs w:val="22"/>
              </w:rPr>
            </w:pPr>
            <w:r w:rsidRPr="00E17FBC">
              <w:rPr>
                <w:b/>
                <w:bCs/>
                <w:sz w:val="22"/>
                <w:szCs w:val="22"/>
              </w:rPr>
              <w:t>Year</w:t>
            </w:r>
          </w:p>
        </w:tc>
        <w:tc>
          <w:tcPr>
            <w:tcW w:w="4675" w:type="dxa"/>
          </w:tcPr>
          <w:p w14:paraId="3DD05CA9" w14:textId="3C384C6E" w:rsidR="00C819A9" w:rsidRPr="00E17FBC" w:rsidRDefault="00C819A9" w:rsidP="00C819A9">
            <w:pPr>
              <w:jc w:val="center"/>
              <w:rPr>
                <w:b/>
                <w:bCs/>
                <w:sz w:val="22"/>
                <w:szCs w:val="22"/>
              </w:rPr>
            </w:pPr>
            <w:r w:rsidRPr="00E17FBC">
              <w:rPr>
                <w:b/>
                <w:bCs/>
                <w:sz w:val="22"/>
                <w:szCs w:val="22"/>
              </w:rPr>
              <w:t>Cost</w:t>
            </w:r>
          </w:p>
        </w:tc>
      </w:tr>
      <w:tr w:rsidR="00C819A9" w:rsidRPr="00E17FBC" w14:paraId="29E2809F" w14:textId="77777777" w:rsidTr="00C819A9">
        <w:tc>
          <w:tcPr>
            <w:tcW w:w="4675" w:type="dxa"/>
          </w:tcPr>
          <w:p w14:paraId="413B0218" w14:textId="33146CB4" w:rsidR="00C819A9" w:rsidRPr="00E17FBC" w:rsidRDefault="00C819A9" w:rsidP="00C819A9">
            <w:pPr>
              <w:jc w:val="center"/>
              <w:rPr>
                <w:b/>
                <w:bCs/>
                <w:sz w:val="22"/>
                <w:szCs w:val="22"/>
              </w:rPr>
            </w:pPr>
            <w:r w:rsidRPr="00E17FBC">
              <w:rPr>
                <w:b/>
                <w:bCs/>
                <w:sz w:val="22"/>
                <w:szCs w:val="22"/>
              </w:rPr>
              <w:t>2016-17</w:t>
            </w:r>
          </w:p>
        </w:tc>
        <w:tc>
          <w:tcPr>
            <w:tcW w:w="4675" w:type="dxa"/>
          </w:tcPr>
          <w:p w14:paraId="7D42ADA3" w14:textId="09A3DE0E" w:rsidR="00C819A9" w:rsidRPr="00E17FBC" w:rsidRDefault="00693F05" w:rsidP="00C819A9">
            <w:pPr>
              <w:jc w:val="center"/>
              <w:rPr>
                <w:b/>
                <w:bCs/>
                <w:sz w:val="22"/>
                <w:szCs w:val="22"/>
              </w:rPr>
            </w:pPr>
            <w:r w:rsidRPr="00E17FBC">
              <w:rPr>
                <w:b/>
                <w:bCs/>
                <w:sz w:val="22"/>
                <w:szCs w:val="22"/>
              </w:rPr>
              <w:t>$246,594,168.30</w:t>
            </w:r>
          </w:p>
        </w:tc>
      </w:tr>
      <w:tr w:rsidR="00C819A9" w:rsidRPr="00E17FBC" w14:paraId="075E4E7F" w14:textId="77777777" w:rsidTr="00C819A9">
        <w:tc>
          <w:tcPr>
            <w:tcW w:w="4675" w:type="dxa"/>
          </w:tcPr>
          <w:p w14:paraId="24581855" w14:textId="319AF2E8" w:rsidR="00C819A9" w:rsidRPr="00E17FBC" w:rsidRDefault="00C819A9" w:rsidP="00C819A9">
            <w:pPr>
              <w:jc w:val="center"/>
              <w:rPr>
                <w:b/>
                <w:bCs/>
                <w:sz w:val="22"/>
                <w:szCs w:val="22"/>
              </w:rPr>
            </w:pPr>
            <w:r w:rsidRPr="00E17FBC">
              <w:rPr>
                <w:b/>
                <w:bCs/>
                <w:sz w:val="22"/>
                <w:szCs w:val="22"/>
              </w:rPr>
              <w:t>2020-21</w:t>
            </w:r>
          </w:p>
        </w:tc>
        <w:tc>
          <w:tcPr>
            <w:tcW w:w="4675" w:type="dxa"/>
          </w:tcPr>
          <w:p w14:paraId="716D0FDB" w14:textId="558092EA" w:rsidR="00C819A9" w:rsidRPr="00E17FBC" w:rsidRDefault="00693F05" w:rsidP="00C819A9">
            <w:pPr>
              <w:jc w:val="center"/>
              <w:rPr>
                <w:b/>
                <w:bCs/>
                <w:sz w:val="22"/>
                <w:szCs w:val="22"/>
              </w:rPr>
            </w:pPr>
            <w:r w:rsidRPr="00E17FBC">
              <w:rPr>
                <w:b/>
                <w:bCs/>
                <w:sz w:val="22"/>
                <w:szCs w:val="22"/>
              </w:rPr>
              <w:t>$384,298,755.83</w:t>
            </w:r>
          </w:p>
        </w:tc>
      </w:tr>
      <w:tr w:rsidR="00C819A9" w:rsidRPr="00E17FBC" w14:paraId="074EEDB9" w14:textId="77777777" w:rsidTr="00C819A9">
        <w:tc>
          <w:tcPr>
            <w:tcW w:w="4675" w:type="dxa"/>
          </w:tcPr>
          <w:p w14:paraId="466E7989" w14:textId="7A027FAF" w:rsidR="00C819A9" w:rsidRPr="00E17FBC" w:rsidRDefault="00C819A9" w:rsidP="00C819A9">
            <w:pPr>
              <w:jc w:val="center"/>
              <w:rPr>
                <w:b/>
                <w:bCs/>
                <w:sz w:val="22"/>
                <w:szCs w:val="22"/>
              </w:rPr>
            </w:pPr>
            <w:r w:rsidRPr="00E17FBC">
              <w:rPr>
                <w:b/>
                <w:bCs/>
                <w:sz w:val="22"/>
                <w:szCs w:val="22"/>
              </w:rPr>
              <w:t>2024-25</w:t>
            </w:r>
          </w:p>
        </w:tc>
        <w:tc>
          <w:tcPr>
            <w:tcW w:w="4675" w:type="dxa"/>
          </w:tcPr>
          <w:p w14:paraId="173957BC" w14:textId="245B1925" w:rsidR="00C819A9" w:rsidRPr="00E17FBC" w:rsidRDefault="00693F05" w:rsidP="00C819A9">
            <w:pPr>
              <w:jc w:val="center"/>
              <w:rPr>
                <w:b/>
                <w:bCs/>
                <w:sz w:val="22"/>
                <w:szCs w:val="22"/>
              </w:rPr>
            </w:pPr>
            <w:r w:rsidRPr="00E17FBC">
              <w:rPr>
                <w:b/>
                <w:bCs/>
                <w:sz w:val="22"/>
                <w:szCs w:val="22"/>
              </w:rPr>
              <w:t>$633,014,058.77</w:t>
            </w:r>
          </w:p>
        </w:tc>
      </w:tr>
    </w:tbl>
    <w:p w14:paraId="731DE86F" w14:textId="77777777" w:rsidR="007E679C" w:rsidRPr="00E17FBC" w:rsidRDefault="007E679C" w:rsidP="00ED4C1B">
      <w:pPr>
        <w:jc w:val="center"/>
        <w:rPr>
          <w:b/>
          <w:bCs/>
          <w:sz w:val="22"/>
          <w:szCs w:val="22"/>
        </w:rPr>
      </w:pPr>
    </w:p>
    <w:p w14:paraId="668C3AA6" w14:textId="6E2CE261" w:rsidR="00693F05" w:rsidRPr="00E17FBC" w:rsidRDefault="0091142A" w:rsidP="0091142A">
      <w:pPr>
        <w:rPr>
          <w:b/>
          <w:bCs/>
          <w:sz w:val="22"/>
          <w:szCs w:val="22"/>
        </w:rPr>
      </w:pPr>
      <w:r w:rsidRPr="00E17FBC">
        <w:rPr>
          <w:b/>
          <w:bCs/>
          <w:sz w:val="22"/>
          <w:szCs w:val="22"/>
        </w:rPr>
        <w:t xml:space="preserve">Average </w:t>
      </w:r>
      <w:r w:rsidR="003A3D9C" w:rsidRPr="00E17FBC">
        <w:rPr>
          <w:b/>
          <w:bCs/>
          <w:sz w:val="22"/>
          <w:szCs w:val="22"/>
        </w:rPr>
        <w:t>State Aid</w:t>
      </w:r>
      <w:r w:rsidR="009205A0" w:rsidRPr="00E17FBC">
        <w:rPr>
          <w:b/>
          <w:bCs/>
          <w:sz w:val="22"/>
          <w:szCs w:val="22"/>
        </w:rPr>
        <w:t>/</w:t>
      </w:r>
      <w:r w:rsidR="009205A0" w:rsidRPr="00E17FBC">
        <w:rPr>
          <w:b/>
          <w:bCs/>
          <w:color w:val="FF0000"/>
          <w:sz w:val="22"/>
          <w:szCs w:val="22"/>
        </w:rPr>
        <w:t>Revenue Limit</w:t>
      </w:r>
      <w:r w:rsidR="003A3D9C" w:rsidRPr="00E17FBC">
        <w:rPr>
          <w:b/>
          <w:bCs/>
          <w:color w:val="FF0000"/>
          <w:sz w:val="22"/>
          <w:szCs w:val="22"/>
        </w:rPr>
        <w:t xml:space="preserve"> </w:t>
      </w:r>
      <w:r w:rsidR="003A3D9C" w:rsidRPr="00E17FBC">
        <w:rPr>
          <w:b/>
          <w:bCs/>
          <w:sz w:val="22"/>
          <w:szCs w:val="22"/>
        </w:rPr>
        <w:t>Payment Per Pupil</w:t>
      </w:r>
    </w:p>
    <w:tbl>
      <w:tblPr>
        <w:tblStyle w:val="TableGrid"/>
        <w:tblW w:w="0" w:type="auto"/>
        <w:tblLook w:val="04A0" w:firstRow="1" w:lastRow="0" w:firstColumn="1" w:lastColumn="0" w:noHBand="0" w:noVBand="1"/>
      </w:tblPr>
      <w:tblGrid>
        <w:gridCol w:w="1516"/>
        <w:gridCol w:w="1646"/>
        <w:gridCol w:w="1623"/>
        <w:gridCol w:w="1623"/>
        <w:gridCol w:w="1319"/>
      </w:tblGrid>
      <w:tr w:rsidR="00693F05" w:rsidRPr="00E17FBC" w14:paraId="5DF923A2" w14:textId="735E810B" w:rsidTr="00693F05">
        <w:tc>
          <w:tcPr>
            <w:tcW w:w="1516" w:type="dxa"/>
          </w:tcPr>
          <w:p w14:paraId="71070944" w14:textId="33DE37E8" w:rsidR="00693F05" w:rsidRPr="00E17FBC" w:rsidRDefault="00693F05" w:rsidP="00ED4C1B">
            <w:pPr>
              <w:jc w:val="center"/>
              <w:rPr>
                <w:b/>
                <w:bCs/>
                <w:sz w:val="22"/>
                <w:szCs w:val="22"/>
              </w:rPr>
            </w:pPr>
            <w:r w:rsidRPr="00E17FBC">
              <w:rPr>
                <w:b/>
                <w:bCs/>
                <w:sz w:val="22"/>
                <w:szCs w:val="22"/>
              </w:rPr>
              <w:t>Year</w:t>
            </w:r>
          </w:p>
        </w:tc>
        <w:tc>
          <w:tcPr>
            <w:tcW w:w="1646" w:type="dxa"/>
          </w:tcPr>
          <w:p w14:paraId="35FB5BFB" w14:textId="6406DA09" w:rsidR="00693F05" w:rsidRPr="00E17FBC" w:rsidRDefault="00693F05" w:rsidP="00ED4C1B">
            <w:pPr>
              <w:jc w:val="center"/>
              <w:rPr>
                <w:b/>
                <w:bCs/>
                <w:sz w:val="22"/>
                <w:szCs w:val="22"/>
              </w:rPr>
            </w:pPr>
            <w:r w:rsidRPr="00E17FBC">
              <w:rPr>
                <w:b/>
                <w:bCs/>
                <w:sz w:val="22"/>
                <w:szCs w:val="22"/>
              </w:rPr>
              <w:t xml:space="preserve">Parental Choice .5 4K with 87.5 hours of parental outreach </w:t>
            </w:r>
          </w:p>
        </w:tc>
        <w:tc>
          <w:tcPr>
            <w:tcW w:w="1623" w:type="dxa"/>
          </w:tcPr>
          <w:p w14:paraId="67864B0A" w14:textId="77777777" w:rsidR="00693F05" w:rsidRPr="00E17FBC" w:rsidRDefault="00693F05" w:rsidP="00693F05">
            <w:pPr>
              <w:jc w:val="center"/>
              <w:rPr>
                <w:b/>
                <w:bCs/>
                <w:sz w:val="22"/>
                <w:szCs w:val="22"/>
              </w:rPr>
            </w:pPr>
            <w:r w:rsidRPr="00E17FBC">
              <w:rPr>
                <w:b/>
                <w:bCs/>
                <w:sz w:val="22"/>
                <w:szCs w:val="22"/>
              </w:rPr>
              <w:t>Parental Choice</w:t>
            </w:r>
          </w:p>
          <w:p w14:paraId="25F9A2F7" w14:textId="77777777" w:rsidR="00693F05" w:rsidRPr="00E17FBC" w:rsidRDefault="00693F05" w:rsidP="00693F05">
            <w:pPr>
              <w:jc w:val="center"/>
              <w:rPr>
                <w:b/>
                <w:bCs/>
                <w:sz w:val="22"/>
                <w:szCs w:val="22"/>
              </w:rPr>
            </w:pPr>
            <w:r w:rsidRPr="00E17FBC">
              <w:rPr>
                <w:b/>
                <w:bCs/>
                <w:sz w:val="22"/>
                <w:szCs w:val="22"/>
              </w:rPr>
              <w:t>Grades K-8</w:t>
            </w:r>
          </w:p>
          <w:p w14:paraId="070483C7" w14:textId="74ED9985" w:rsidR="00693F05" w:rsidRPr="00E17FBC" w:rsidRDefault="00693F05" w:rsidP="00693F05">
            <w:pPr>
              <w:jc w:val="center"/>
              <w:rPr>
                <w:b/>
                <w:bCs/>
                <w:sz w:val="22"/>
                <w:szCs w:val="22"/>
              </w:rPr>
            </w:pPr>
            <w:r w:rsidRPr="00E17FBC">
              <w:rPr>
                <w:b/>
                <w:bCs/>
                <w:sz w:val="22"/>
                <w:szCs w:val="22"/>
              </w:rPr>
              <w:t>Full Time</w:t>
            </w:r>
          </w:p>
        </w:tc>
        <w:tc>
          <w:tcPr>
            <w:tcW w:w="1623" w:type="dxa"/>
          </w:tcPr>
          <w:p w14:paraId="216DD7AA" w14:textId="77777777" w:rsidR="00693F05" w:rsidRPr="00E17FBC" w:rsidRDefault="00693F05" w:rsidP="00ED4C1B">
            <w:pPr>
              <w:jc w:val="center"/>
              <w:rPr>
                <w:b/>
                <w:bCs/>
                <w:sz w:val="22"/>
                <w:szCs w:val="22"/>
              </w:rPr>
            </w:pPr>
            <w:r w:rsidRPr="00E17FBC">
              <w:rPr>
                <w:b/>
                <w:bCs/>
                <w:sz w:val="22"/>
                <w:szCs w:val="22"/>
              </w:rPr>
              <w:t xml:space="preserve">Parental Choice </w:t>
            </w:r>
          </w:p>
          <w:p w14:paraId="1DBA0940" w14:textId="77777777" w:rsidR="00693F05" w:rsidRPr="00E17FBC" w:rsidRDefault="00693F05" w:rsidP="00ED4C1B">
            <w:pPr>
              <w:jc w:val="center"/>
              <w:rPr>
                <w:b/>
                <w:bCs/>
                <w:sz w:val="22"/>
                <w:szCs w:val="22"/>
              </w:rPr>
            </w:pPr>
            <w:r w:rsidRPr="00E17FBC">
              <w:rPr>
                <w:b/>
                <w:bCs/>
                <w:sz w:val="22"/>
                <w:szCs w:val="22"/>
              </w:rPr>
              <w:t>Grades 9-12</w:t>
            </w:r>
          </w:p>
          <w:p w14:paraId="5F8DCCDD" w14:textId="3F189827" w:rsidR="00693F05" w:rsidRPr="00E17FBC" w:rsidRDefault="00693F05" w:rsidP="00ED4C1B">
            <w:pPr>
              <w:jc w:val="center"/>
              <w:rPr>
                <w:b/>
                <w:bCs/>
                <w:sz w:val="22"/>
                <w:szCs w:val="22"/>
              </w:rPr>
            </w:pPr>
            <w:r w:rsidRPr="00E17FBC">
              <w:rPr>
                <w:b/>
                <w:bCs/>
                <w:sz w:val="22"/>
                <w:szCs w:val="22"/>
              </w:rPr>
              <w:t>Full Time</w:t>
            </w:r>
          </w:p>
        </w:tc>
        <w:tc>
          <w:tcPr>
            <w:tcW w:w="1319" w:type="dxa"/>
          </w:tcPr>
          <w:p w14:paraId="5C47F49A" w14:textId="77777777" w:rsidR="00693F05" w:rsidRPr="00E17FBC" w:rsidRDefault="00693F05" w:rsidP="00ED4C1B">
            <w:pPr>
              <w:jc w:val="center"/>
              <w:rPr>
                <w:b/>
                <w:bCs/>
                <w:sz w:val="22"/>
                <w:szCs w:val="22"/>
              </w:rPr>
            </w:pPr>
            <w:r w:rsidRPr="00E17FBC">
              <w:rPr>
                <w:b/>
                <w:bCs/>
                <w:sz w:val="22"/>
                <w:szCs w:val="22"/>
              </w:rPr>
              <w:t>Public Schools 5K-12</w:t>
            </w:r>
          </w:p>
          <w:p w14:paraId="0B8966F4" w14:textId="5EB4E1D1" w:rsidR="00693F05" w:rsidRPr="00E17FBC" w:rsidRDefault="00693F05" w:rsidP="00ED4C1B">
            <w:pPr>
              <w:jc w:val="center"/>
              <w:rPr>
                <w:b/>
                <w:bCs/>
                <w:sz w:val="22"/>
                <w:szCs w:val="22"/>
              </w:rPr>
            </w:pPr>
            <w:r w:rsidRPr="00E17FBC">
              <w:rPr>
                <w:b/>
                <w:bCs/>
                <w:sz w:val="22"/>
                <w:szCs w:val="22"/>
              </w:rPr>
              <w:t xml:space="preserve"> Full Time</w:t>
            </w:r>
          </w:p>
        </w:tc>
      </w:tr>
      <w:tr w:rsidR="0091142A" w:rsidRPr="00E17FBC" w14:paraId="512D5130" w14:textId="77777777" w:rsidTr="00693F05">
        <w:tc>
          <w:tcPr>
            <w:tcW w:w="1516" w:type="dxa"/>
          </w:tcPr>
          <w:p w14:paraId="6FA83EB9" w14:textId="5F696996" w:rsidR="0091142A" w:rsidRPr="00E17FBC" w:rsidRDefault="0091142A" w:rsidP="00ED4C1B">
            <w:pPr>
              <w:jc w:val="center"/>
              <w:rPr>
                <w:b/>
                <w:bCs/>
                <w:sz w:val="22"/>
                <w:szCs w:val="22"/>
              </w:rPr>
            </w:pPr>
            <w:r w:rsidRPr="00E17FBC">
              <w:rPr>
                <w:b/>
                <w:bCs/>
                <w:sz w:val="22"/>
                <w:szCs w:val="22"/>
              </w:rPr>
              <w:t>2021-22</w:t>
            </w:r>
          </w:p>
        </w:tc>
        <w:tc>
          <w:tcPr>
            <w:tcW w:w="1646" w:type="dxa"/>
          </w:tcPr>
          <w:p w14:paraId="247B27CF" w14:textId="77777777" w:rsidR="0091142A" w:rsidRPr="00E17FBC" w:rsidRDefault="0091142A" w:rsidP="00ED4C1B">
            <w:pPr>
              <w:jc w:val="center"/>
              <w:rPr>
                <w:b/>
                <w:bCs/>
                <w:sz w:val="22"/>
                <w:szCs w:val="22"/>
              </w:rPr>
            </w:pPr>
          </w:p>
        </w:tc>
        <w:tc>
          <w:tcPr>
            <w:tcW w:w="1623" w:type="dxa"/>
          </w:tcPr>
          <w:p w14:paraId="23B2F98E" w14:textId="020C8DB6" w:rsidR="0091142A" w:rsidRPr="00E17FBC" w:rsidRDefault="008A19A4" w:rsidP="00ED4C1B">
            <w:pPr>
              <w:jc w:val="center"/>
              <w:rPr>
                <w:b/>
                <w:bCs/>
                <w:sz w:val="22"/>
                <w:szCs w:val="22"/>
              </w:rPr>
            </w:pPr>
            <w:r w:rsidRPr="00E17FBC">
              <w:rPr>
                <w:b/>
                <w:bCs/>
                <w:sz w:val="22"/>
                <w:szCs w:val="22"/>
              </w:rPr>
              <w:t>$8336</w:t>
            </w:r>
          </w:p>
        </w:tc>
        <w:tc>
          <w:tcPr>
            <w:tcW w:w="1623" w:type="dxa"/>
          </w:tcPr>
          <w:p w14:paraId="241C8FC2" w14:textId="0CAA806F" w:rsidR="0091142A" w:rsidRPr="00E17FBC" w:rsidRDefault="008A19A4" w:rsidP="00ED4C1B">
            <w:pPr>
              <w:jc w:val="center"/>
              <w:rPr>
                <w:b/>
                <w:bCs/>
                <w:sz w:val="22"/>
                <w:szCs w:val="22"/>
              </w:rPr>
            </w:pPr>
            <w:r w:rsidRPr="00E17FBC">
              <w:rPr>
                <w:b/>
                <w:bCs/>
                <w:sz w:val="22"/>
                <w:szCs w:val="22"/>
              </w:rPr>
              <w:t>$</w:t>
            </w:r>
            <w:r w:rsidR="003A3D9C" w:rsidRPr="00E17FBC">
              <w:rPr>
                <w:b/>
                <w:bCs/>
                <w:sz w:val="22"/>
                <w:szCs w:val="22"/>
              </w:rPr>
              <w:t>8982</w:t>
            </w:r>
          </w:p>
        </w:tc>
        <w:tc>
          <w:tcPr>
            <w:tcW w:w="1319" w:type="dxa"/>
          </w:tcPr>
          <w:p w14:paraId="76C3D0C7" w14:textId="3F96EB4E" w:rsidR="0091142A" w:rsidRPr="00E17FBC" w:rsidRDefault="008A19A4" w:rsidP="00ED4C1B">
            <w:pPr>
              <w:jc w:val="center"/>
              <w:rPr>
                <w:b/>
                <w:bCs/>
                <w:color w:val="FF0000"/>
                <w:sz w:val="22"/>
                <w:szCs w:val="22"/>
              </w:rPr>
            </w:pPr>
            <w:r w:rsidRPr="00E17FBC">
              <w:rPr>
                <w:b/>
                <w:bCs/>
                <w:color w:val="FF0000"/>
                <w:sz w:val="22"/>
                <w:szCs w:val="22"/>
              </w:rPr>
              <w:t>$10,551</w:t>
            </w:r>
          </w:p>
        </w:tc>
      </w:tr>
      <w:tr w:rsidR="0091142A" w:rsidRPr="00E17FBC" w14:paraId="4B8712E7" w14:textId="77777777" w:rsidTr="00693F05">
        <w:tc>
          <w:tcPr>
            <w:tcW w:w="1516" w:type="dxa"/>
          </w:tcPr>
          <w:p w14:paraId="1BBF394D" w14:textId="7375C578" w:rsidR="0091142A" w:rsidRPr="00E17FBC" w:rsidRDefault="0091142A" w:rsidP="00ED4C1B">
            <w:pPr>
              <w:jc w:val="center"/>
              <w:rPr>
                <w:b/>
                <w:bCs/>
                <w:sz w:val="22"/>
                <w:szCs w:val="22"/>
              </w:rPr>
            </w:pPr>
            <w:r w:rsidRPr="00E17FBC">
              <w:rPr>
                <w:b/>
                <w:bCs/>
                <w:sz w:val="22"/>
                <w:szCs w:val="22"/>
              </w:rPr>
              <w:t>2022-23</w:t>
            </w:r>
          </w:p>
        </w:tc>
        <w:tc>
          <w:tcPr>
            <w:tcW w:w="1646" w:type="dxa"/>
          </w:tcPr>
          <w:p w14:paraId="1206076E" w14:textId="77777777" w:rsidR="0091142A" w:rsidRPr="00E17FBC" w:rsidRDefault="0091142A" w:rsidP="00ED4C1B">
            <w:pPr>
              <w:jc w:val="center"/>
              <w:rPr>
                <w:b/>
                <w:bCs/>
                <w:sz w:val="22"/>
                <w:szCs w:val="22"/>
              </w:rPr>
            </w:pPr>
          </w:p>
        </w:tc>
        <w:tc>
          <w:tcPr>
            <w:tcW w:w="1623" w:type="dxa"/>
          </w:tcPr>
          <w:p w14:paraId="0C57D33E" w14:textId="5C9B60AE" w:rsidR="0091142A" w:rsidRPr="00E17FBC" w:rsidRDefault="008A19A4" w:rsidP="00ED4C1B">
            <w:pPr>
              <w:jc w:val="center"/>
              <w:rPr>
                <w:b/>
                <w:bCs/>
                <w:sz w:val="22"/>
                <w:szCs w:val="22"/>
              </w:rPr>
            </w:pPr>
            <w:r w:rsidRPr="00E17FBC">
              <w:rPr>
                <w:b/>
                <w:bCs/>
                <w:sz w:val="22"/>
                <w:szCs w:val="22"/>
              </w:rPr>
              <w:t>$8399</w:t>
            </w:r>
          </w:p>
        </w:tc>
        <w:tc>
          <w:tcPr>
            <w:tcW w:w="1623" w:type="dxa"/>
          </w:tcPr>
          <w:p w14:paraId="204FA18E" w14:textId="6D27EA51" w:rsidR="0091142A" w:rsidRPr="00E17FBC" w:rsidRDefault="008A19A4" w:rsidP="00ED4C1B">
            <w:pPr>
              <w:jc w:val="center"/>
              <w:rPr>
                <w:b/>
                <w:bCs/>
                <w:sz w:val="22"/>
                <w:szCs w:val="22"/>
              </w:rPr>
            </w:pPr>
            <w:r w:rsidRPr="00E17FBC">
              <w:rPr>
                <w:b/>
                <w:bCs/>
                <w:sz w:val="22"/>
                <w:szCs w:val="22"/>
              </w:rPr>
              <w:t>$9045</w:t>
            </w:r>
          </w:p>
        </w:tc>
        <w:tc>
          <w:tcPr>
            <w:tcW w:w="1319" w:type="dxa"/>
          </w:tcPr>
          <w:p w14:paraId="29F5889F" w14:textId="61F4DC18" w:rsidR="0091142A" w:rsidRPr="00E17FBC" w:rsidRDefault="008A19A4" w:rsidP="00ED4C1B">
            <w:pPr>
              <w:jc w:val="center"/>
              <w:rPr>
                <w:b/>
                <w:bCs/>
                <w:color w:val="FF0000"/>
                <w:sz w:val="22"/>
                <w:szCs w:val="22"/>
              </w:rPr>
            </w:pPr>
            <w:r w:rsidRPr="00E17FBC">
              <w:rPr>
                <w:b/>
                <w:bCs/>
                <w:color w:val="FF0000"/>
                <w:sz w:val="22"/>
                <w:szCs w:val="22"/>
              </w:rPr>
              <w:t>$10,553</w:t>
            </w:r>
          </w:p>
        </w:tc>
      </w:tr>
      <w:tr w:rsidR="00693F05" w:rsidRPr="00E17FBC" w14:paraId="33E75F6B" w14:textId="313F5E1B" w:rsidTr="00693F05">
        <w:tc>
          <w:tcPr>
            <w:tcW w:w="1516" w:type="dxa"/>
          </w:tcPr>
          <w:p w14:paraId="39D8E687" w14:textId="65291712" w:rsidR="00693F05" w:rsidRPr="00E17FBC" w:rsidRDefault="00693F05" w:rsidP="00ED4C1B">
            <w:pPr>
              <w:jc w:val="center"/>
              <w:rPr>
                <w:b/>
                <w:bCs/>
                <w:sz w:val="22"/>
                <w:szCs w:val="22"/>
              </w:rPr>
            </w:pPr>
            <w:r w:rsidRPr="00E17FBC">
              <w:rPr>
                <w:b/>
                <w:bCs/>
                <w:sz w:val="22"/>
                <w:szCs w:val="22"/>
              </w:rPr>
              <w:t>2023-24</w:t>
            </w:r>
          </w:p>
        </w:tc>
        <w:tc>
          <w:tcPr>
            <w:tcW w:w="1646" w:type="dxa"/>
          </w:tcPr>
          <w:p w14:paraId="5110995E" w14:textId="34C4C0F4" w:rsidR="00693F05" w:rsidRPr="00E17FBC" w:rsidRDefault="003A3D9C" w:rsidP="00ED4C1B">
            <w:pPr>
              <w:jc w:val="center"/>
              <w:rPr>
                <w:b/>
                <w:bCs/>
                <w:sz w:val="22"/>
                <w:szCs w:val="22"/>
              </w:rPr>
            </w:pPr>
            <w:r w:rsidRPr="00E17FBC">
              <w:rPr>
                <w:b/>
                <w:bCs/>
                <w:sz w:val="22"/>
                <w:szCs w:val="22"/>
              </w:rPr>
              <w:t>$</w:t>
            </w:r>
            <w:r w:rsidR="00693F05" w:rsidRPr="00E17FBC">
              <w:rPr>
                <w:b/>
                <w:bCs/>
                <w:sz w:val="22"/>
                <w:szCs w:val="22"/>
              </w:rPr>
              <w:t>5935.00</w:t>
            </w:r>
          </w:p>
        </w:tc>
        <w:tc>
          <w:tcPr>
            <w:tcW w:w="1623" w:type="dxa"/>
          </w:tcPr>
          <w:p w14:paraId="04D87A34" w14:textId="71A28B95" w:rsidR="00693F05" w:rsidRPr="00E17FBC" w:rsidRDefault="0091142A" w:rsidP="00ED4C1B">
            <w:pPr>
              <w:jc w:val="center"/>
              <w:rPr>
                <w:b/>
                <w:bCs/>
                <w:sz w:val="22"/>
                <w:szCs w:val="22"/>
              </w:rPr>
            </w:pPr>
            <w:r w:rsidRPr="00E17FBC">
              <w:rPr>
                <w:b/>
                <w:bCs/>
                <w:sz w:val="22"/>
                <w:szCs w:val="22"/>
              </w:rPr>
              <w:t>$</w:t>
            </w:r>
            <w:r w:rsidR="00693F05" w:rsidRPr="00E17FBC">
              <w:rPr>
                <w:b/>
                <w:bCs/>
                <w:sz w:val="22"/>
                <w:szCs w:val="22"/>
              </w:rPr>
              <w:t>9893</w:t>
            </w:r>
          </w:p>
        </w:tc>
        <w:tc>
          <w:tcPr>
            <w:tcW w:w="1623" w:type="dxa"/>
          </w:tcPr>
          <w:p w14:paraId="202B3044" w14:textId="06B6DF0A" w:rsidR="00693F05" w:rsidRPr="00E17FBC" w:rsidRDefault="0091142A" w:rsidP="00ED4C1B">
            <w:pPr>
              <w:jc w:val="center"/>
              <w:rPr>
                <w:b/>
                <w:bCs/>
                <w:sz w:val="22"/>
                <w:szCs w:val="22"/>
              </w:rPr>
            </w:pPr>
            <w:r w:rsidRPr="00E17FBC">
              <w:rPr>
                <w:b/>
                <w:bCs/>
                <w:sz w:val="22"/>
                <w:szCs w:val="22"/>
              </w:rPr>
              <w:t>$</w:t>
            </w:r>
            <w:r w:rsidR="00693F05" w:rsidRPr="00E17FBC">
              <w:rPr>
                <w:b/>
                <w:bCs/>
                <w:sz w:val="22"/>
                <w:szCs w:val="22"/>
              </w:rPr>
              <w:t>12,387</w:t>
            </w:r>
          </w:p>
        </w:tc>
        <w:tc>
          <w:tcPr>
            <w:tcW w:w="1319" w:type="dxa"/>
          </w:tcPr>
          <w:p w14:paraId="670A05E0" w14:textId="34C1594F" w:rsidR="00693F05" w:rsidRPr="00E17FBC" w:rsidRDefault="0091142A" w:rsidP="00ED4C1B">
            <w:pPr>
              <w:jc w:val="center"/>
              <w:rPr>
                <w:b/>
                <w:bCs/>
                <w:color w:val="FF0000"/>
                <w:sz w:val="22"/>
                <w:szCs w:val="22"/>
              </w:rPr>
            </w:pPr>
            <w:r w:rsidRPr="00E17FBC">
              <w:rPr>
                <w:b/>
                <w:bCs/>
                <w:color w:val="FF0000"/>
                <w:sz w:val="22"/>
                <w:szCs w:val="22"/>
              </w:rPr>
              <w:t>$11,000</w:t>
            </w:r>
          </w:p>
        </w:tc>
      </w:tr>
      <w:tr w:rsidR="00693F05" w:rsidRPr="00E17FBC" w14:paraId="17FEFDF5" w14:textId="06905AF0" w:rsidTr="00693F05">
        <w:tc>
          <w:tcPr>
            <w:tcW w:w="1516" w:type="dxa"/>
          </w:tcPr>
          <w:p w14:paraId="73E4448F" w14:textId="0C9B1EA4" w:rsidR="00693F05" w:rsidRPr="00E17FBC" w:rsidRDefault="00693F05" w:rsidP="00ED4C1B">
            <w:pPr>
              <w:jc w:val="center"/>
              <w:rPr>
                <w:b/>
                <w:bCs/>
                <w:sz w:val="22"/>
                <w:szCs w:val="22"/>
              </w:rPr>
            </w:pPr>
            <w:r w:rsidRPr="00E17FBC">
              <w:rPr>
                <w:b/>
                <w:bCs/>
                <w:sz w:val="22"/>
                <w:szCs w:val="22"/>
              </w:rPr>
              <w:t>2024-25</w:t>
            </w:r>
          </w:p>
        </w:tc>
        <w:tc>
          <w:tcPr>
            <w:tcW w:w="1646" w:type="dxa"/>
          </w:tcPr>
          <w:p w14:paraId="172721A1" w14:textId="7B2B2994" w:rsidR="00693F05" w:rsidRPr="00E17FBC" w:rsidRDefault="003A3D9C" w:rsidP="00ED4C1B">
            <w:pPr>
              <w:jc w:val="center"/>
              <w:rPr>
                <w:b/>
                <w:bCs/>
                <w:sz w:val="22"/>
                <w:szCs w:val="22"/>
              </w:rPr>
            </w:pPr>
            <w:r w:rsidRPr="00E17FBC">
              <w:rPr>
                <w:b/>
                <w:bCs/>
                <w:sz w:val="22"/>
                <w:szCs w:val="22"/>
              </w:rPr>
              <w:t>$</w:t>
            </w:r>
            <w:r w:rsidR="00693F05" w:rsidRPr="00E17FBC">
              <w:rPr>
                <w:b/>
                <w:bCs/>
                <w:sz w:val="22"/>
                <w:szCs w:val="22"/>
              </w:rPr>
              <w:t>6142.00</w:t>
            </w:r>
          </w:p>
        </w:tc>
        <w:tc>
          <w:tcPr>
            <w:tcW w:w="1623" w:type="dxa"/>
          </w:tcPr>
          <w:p w14:paraId="5341E4BF" w14:textId="20D0D638" w:rsidR="00693F05" w:rsidRPr="00E17FBC" w:rsidRDefault="0091142A" w:rsidP="00ED4C1B">
            <w:pPr>
              <w:jc w:val="center"/>
              <w:rPr>
                <w:b/>
                <w:bCs/>
                <w:sz w:val="22"/>
                <w:szCs w:val="22"/>
              </w:rPr>
            </w:pPr>
            <w:r w:rsidRPr="00E17FBC">
              <w:rPr>
                <w:b/>
                <w:bCs/>
                <w:sz w:val="22"/>
                <w:szCs w:val="22"/>
              </w:rPr>
              <w:t>$</w:t>
            </w:r>
            <w:r w:rsidR="00693F05" w:rsidRPr="00E17FBC">
              <w:rPr>
                <w:b/>
                <w:bCs/>
                <w:sz w:val="22"/>
                <w:szCs w:val="22"/>
              </w:rPr>
              <w:t>10</w:t>
            </w:r>
            <w:r w:rsidRPr="00E17FBC">
              <w:rPr>
                <w:b/>
                <w:bCs/>
                <w:sz w:val="22"/>
                <w:szCs w:val="22"/>
              </w:rPr>
              <w:t>,</w:t>
            </w:r>
            <w:r w:rsidR="00693F05" w:rsidRPr="00E17FBC">
              <w:rPr>
                <w:b/>
                <w:bCs/>
                <w:sz w:val="22"/>
                <w:szCs w:val="22"/>
              </w:rPr>
              <w:t>237</w:t>
            </w:r>
          </w:p>
        </w:tc>
        <w:tc>
          <w:tcPr>
            <w:tcW w:w="1623" w:type="dxa"/>
          </w:tcPr>
          <w:p w14:paraId="3FAE2CF1" w14:textId="30973B0E" w:rsidR="00693F05" w:rsidRPr="00E17FBC" w:rsidRDefault="0091142A" w:rsidP="00ED4C1B">
            <w:pPr>
              <w:jc w:val="center"/>
              <w:rPr>
                <w:b/>
                <w:bCs/>
                <w:sz w:val="22"/>
                <w:szCs w:val="22"/>
              </w:rPr>
            </w:pPr>
            <w:r w:rsidRPr="00E17FBC">
              <w:rPr>
                <w:b/>
                <w:bCs/>
                <w:sz w:val="22"/>
                <w:szCs w:val="22"/>
              </w:rPr>
              <w:t>$</w:t>
            </w:r>
            <w:r w:rsidR="00693F05" w:rsidRPr="00E17FBC">
              <w:rPr>
                <w:b/>
                <w:bCs/>
                <w:sz w:val="22"/>
                <w:szCs w:val="22"/>
              </w:rPr>
              <w:t>12,731</w:t>
            </w:r>
          </w:p>
        </w:tc>
        <w:tc>
          <w:tcPr>
            <w:tcW w:w="1319" w:type="dxa"/>
          </w:tcPr>
          <w:p w14:paraId="6AFD66A0" w14:textId="788C01A4" w:rsidR="00693F05" w:rsidRPr="00E17FBC" w:rsidRDefault="0091142A" w:rsidP="00ED4C1B">
            <w:pPr>
              <w:jc w:val="center"/>
              <w:rPr>
                <w:b/>
                <w:bCs/>
                <w:color w:val="FF0000"/>
                <w:sz w:val="22"/>
                <w:szCs w:val="22"/>
              </w:rPr>
            </w:pPr>
            <w:r w:rsidRPr="00E17FBC">
              <w:rPr>
                <w:b/>
                <w:bCs/>
                <w:color w:val="FF0000"/>
                <w:sz w:val="22"/>
                <w:szCs w:val="22"/>
              </w:rPr>
              <w:t>$11,325</w:t>
            </w:r>
          </w:p>
        </w:tc>
      </w:tr>
    </w:tbl>
    <w:p w14:paraId="5BCD7850" w14:textId="77777777" w:rsidR="00D97AAD" w:rsidRDefault="00D97AAD" w:rsidP="007E679C">
      <w:pPr>
        <w:rPr>
          <w:b/>
          <w:bCs/>
          <w:sz w:val="22"/>
          <w:szCs w:val="22"/>
        </w:rPr>
      </w:pPr>
    </w:p>
    <w:p w14:paraId="695179E0" w14:textId="10104901" w:rsidR="007E679C" w:rsidRPr="00E17FBC" w:rsidRDefault="0091142A" w:rsidP="007E679C">
      <w:pPr>
        <w:rPr>
          <w:b/>
          <w:bCs/>
          <w:sz w:val="22"/>
          <w:szCs w:val="22"/>
        </w:rPr>
      </w:pPr>
      <w:r w:rsidRPr="00E17FBC">
        <w:rPr>
          <w:b/>
          <w:bCs/>
          <w:sz w:val="22"/>
          <w:szCs w:val="22"/>
        </w:rPr>
        <w:t xml:space="preserve">Note:  Choice Schools can charge tuition for their high school students if the family income level exceeds </w:t>
      </w:r>
      <w:r w:rsidR="003A3D9C" w:rsidRPr="00E17FBC">
        <w:rPr>
          <w:b/>
          <w:bCs/>
          <w:sz w:val="22"/>
          <w:szCs w:val="22"/>
        </w:rPr>
        <w:t>a percentage</w:t>
      </w:r>
      <w:r w:rsidRPr="00E17FBC">
        <w:rPr>
          <w:b/>
          <w:bCs/>
          <w:sz w:val="22"/>
          <w:szCs w:val="22"/>
        </w:rPr>
        <w:t xml:space="preserve"> of the federal poverty level. </w:t>
      </w:r>
      <w:r w:rsidR="007E679C" w:rsidRPr="00E17FBC">
        <w:rPr>
          <w:b/>
          <w:bCs/>
          <w:sz w:val="22"/>
          <w:szCs w:val="22"/>
        </w:rPr>
        <w:t xml:space="preserve"> </w:t>
      </w:r>
    </w:p>
    <w:p w14:paraId="4F5ECC00" w14:textId="77777777" w:rsidR="00D97AAD" w:rsidRDefault="007E679C" w:rsidP="00D97AAD">
      <w:pPr>
        <w:jc w:val="center"/>
        <w:rPr>
          <w:b/>
          <w:bCs/>
          <w:sz w:val="22"/>
          <w:szCs w:val="22"/>
        </w:rPr>
      </w:pPr>
      <w:r w:rsidRPr="00E17FBC">
        <w:rPr>
          <w:b/>
          <w:bCs/>
          <w:sz w:val="22"/>
          <w:szCs w:val="22"/>
        </w:rPr>
        <w:drawing>
          <wp:inline distT="0" distB="0" distL="0" distR="0" wp14:anchorId="7965D76B" wp14:editId="3F08A9A8">
            <wp:extent cx="4810125" cy="1336146"/>
            <wp:effectExtent l="0" t="0" r="0" b="0"/>
            <wp:docPr id="1525933496"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33496" name="Picture 1" descr="A white paper with black text&#10;&#10;AI-generated content may be incorrect."/>
                    <pic:cNvPicPr/>
                  </pic:nvPicPr>
                  <pic:blipFill>
                    <a:blip r:embed="rId4"/>
                    <a:stretch>
                      <a:fillRect/>
                    </a:stretch>
                  </pic:blipFill>
                  <pic:spPr>
                    <a:xfrm>
                      <a:off x="0" y="0"/>
                      <a:ext cx="4833955" cy="1342766"/>
                    </a:xfrm>
                    <a:prstGeom prst="rect">
                      <a:avLst/>
                    </a:prstGeom>
                  </pic:spPr>
                </pic:pic>
              </a:graphicData>
            </a:graphic>
          </wp:inline>
        </w:drawing>
      </w:r>
    </w:p>
    <w:p w14:paraId="510337C9" w14:textId="702826A0" w:rsidR="003A3D9C" w:rsidRPr="00E17FBC" w:rsidRDefault="007E679C" w:rsidP="00D97AAD">
      <w:pPr>
        <w:rPr>
          <w:b/>
          <w:bCs/>
          <w:sz w:val="22"/>
          <w:szCs w:val="22"/>
        </w:rPr>
      </w:pPr>
      <w:r w:rsidRPr="00E17FBC">
        <w:rPr>
          <w:b/>
          <w:bCs/>
          <w:sz w:val="22"/>
          <w:szCs w:val="22"/>
        </w:rPr>
        <w:t>In addition, l</w:t>
      </w:r>
      <w:r w:rsidRPr="00E17FBC">
        <w:rPr>
          <w:b/>
          <w:bCs/>
          <w:sz w:val="22"/>
          <w:szCs w:val="22"/>
        </w:rPr>
        <w:t xml:space="preserve">egal mandates on school districts add costs that are not required to be borne by voucher schools. A school district payment can only be comparable to a voucher school payment if it takes those </w:t>
      </w:r>
      <w:r w:rsidRPr="00E17FBC">
        <w:rPr>
          <w:b/>
          <w:bCs/>
          <w:sz w:val="22"/>
          <w:szCs w:val="22"/>
        </w:rPr>
        <w:lastRenderedPageBreak/>
        <w:t>“un-aided” costs into account</w:t>
      </w:r>
      <w:r w:rsidRPr="00E17FBC">
        <w:rPr>
          <w:b/>
          <w:bCs/>
          <w:sz w:val="22"/>
          <w:szCs w:val="22"/>
        </w:rPr>
        <w:t>.</w:t>
      </w:r>
      <w:r w:rsidRPr="00E17FBC">
        <w:rPr>
          <w:b/>
          <w:bCs/>
          <w:sz w:val="22"/>
          <w:szCs w:val="22"/>
        </w:rPr>
        <w:t xml:space="preserve"> The largest school-district-specific mandated expenditures are transportation and special educatio</w:t>
      </w:r>
      <w:r w:rsidRPr="00E17FBC">
        <w:rPr>
          <w:b/>
          <w:bCs/>
          <w:sz w:val="22"/>
          <w:szCs w:val="22"/>
        </w:rPr>
        <w:t>n.</w:t>
      </w:r>
    </w:p>
    <w:p w14:paraId="21B1815A" w14:textId="6A02F389" w:rsidR="007E679C" w:rsidRPr="00E17FBC" w:rsidRDefault="007E679C" w:rsidP="007E679C">
      <w:pPr>
        <w:rPr>
          <w:b/>
          <w:bCs/>
          <w:sz w:val="22"/>
          <w:szCs w:val="22"/>
        </w:rPr>
      </w:pPr>
      <w:r w:rsidRPr="00E17FBC">
        <w:rPr>
          <w:b/>
          <w:bCs/>
          <w:sz w:val="22"/>
          <w:szCs w:val="22"/>
        </w:rPr>
        <w:t xml:space="preserve">Want information specific to your school district?  Contact your school district’s Business Manager or contact the </w:t>
      </w:r>
      <w:r w:rsidRPr="00E17FBC">
        <w:rPr>
          <w:b/>
          <w:bCs/>
          <w:sz w:val="22"/>
          <w:szCs w:val="22"/>
        </w:rPr>
        <w:t xml:space="preserve">Wisconsin Association of School Business Officials </w:t>
      </w:r>
      <w:r w:rsidRPr="00E17FBC">
        <w:rPr>
          <w:b/>
          <w:bCs/>
          <w:sz w:val="22"/>
          <w:szCs w:val="22"/>
        </w:rPr>
        <w:t>(</w:t>
      </w:r>
      <w:r w:rsidRPr="00E17FBC">
        <w:rPr>
          <w:b/>
          <w:bCs/>
          <w:sz w:val="22"/>
          <w:szCs w:val="22"/>
        </w:rPr>
        <w:t>WASBO</w:t>
      </w:r>
      <w:r w:rsidRPr="00E17FBC">
        <w:rPr>
          <w:b/>
          <w:bCs/>
          <w:sz w:val="22"/>
          <w:szCs w:val="22"/>
        </w:rPr>
        <w:t>)</w:t>
      </w:r>
      <w:r w:rsidRPr="00E17FBC">
        <w:rPr>
          <w:b/>
          <w:bCs/>
          <w:sz w:val="22"/>
          <w:szCs w:val="22"/>
        </w:rPr>
        <w:t xml:space="preserve"> Research Director</w:t>
      </w:r>
      <w:r w:rsidRPr="00E17FBC">
        <w:rPr>
          <w:b/>
          <w:bCs/>
          <w:sz w:val="22"/>
          <w:szCs w:val="22"/>
        </w:rPr>
        <w:t>, Anne Chapman @</w:t>
      </w:r>
      <w:r w:rsidRPr="00E17FBC">
        <w:rPr>
          <w:b/>
          <w:bCs/>
          <w:sz w:val="22"/>
          <w:szCs w:val="22"/>
        </w:rPr>
        <w:t xml:space="preserve"> </w:t>
      </w:r>
      <w:hyperlink r:id="rId5" w:history="1">
        <w:r w:rsidRPr="00E17FBC">
          <w:rPr>
            <w:rStyle w:val="Hyperlink"/>
            <w:b/>
            <w:bCs/>
            <w:sz w:val="22"/>
            <w:szCs w:val="22"/>
          </w:rPr>
          <w:t>Anne.Chapman@wasbo.com</w:t>
        </w:r>
      </w:hyperlink>
    </w:p>
    <w:p w14:paraId="6B1DC43F" w14:textId="5FA24272" w:rsidR="007E679C" w:rsidRPr="00E17FBC" w:rsidRDefault="009205A0" w:rsidP="007E679C">
      <w:pPr>
        <w:rPr>
          <w:b/>
          <w:bCs/>
          <w:sz w:val="22"/>
          <w:szCs w:val="22"/>
        </w:rPr>
      </w:pPr>
      <w:r w:rsidRPr="00E17FBC">
        <w:rPr>
          <w:b/>
          <w:bCs/>
          <w:noProof/>
          <w:sz w:val="22"/>
          <w:szCs w:val="22"/>
        </w:rPr>
        <mc:AlternateContent>
          <mc:Choice Requires="wps">
            <w:drawing>
              <wp:anchor distT="0" distB="0" distL="114300" distR="114300" simplePos="0" relativeHeight="251659264" behindDoc="0" locked="0" layoutInCell="1" allowOverlap="1" wp14:anchorId="23CD3590" wp14:editId="0A5E7CF0">
                <wp:simplePos x="0" y="0"/>
                <wp:positionH relativeFrom="column">
                  <wp:posOffset>19049</wp:posOffset>
                </wp:positionH>
                <wp:positionV relativeFrom="paragraph">
                  <wp:posOffset>107950</wp:posOffset>
                </wp:positionV>
                <wp:extent cx="6753225" cy="9525"/>
                <wp:effectExtent l="19050" t="19050" r="28575" b="28575"/>
                <wp:wrapNone/>
                <wp:docPr id="676575062" name="Straight Connector 3"/>
                <wp:cNvGraphicFramePr/>
                <a:graphic xmlns:a="http://schemas.openxmlformats.org/drawingml/2006/main">
                  <a:graphicData uri="http://schemas.microsoft.com/office/word/2010/wordprocessingShape">
                    <wps:wsp>
                      <wps:cNvCnPr/>
                      <wps:spPr>
                        <a:xfrm flipV="1">
                          <a:off x="0" y="0"/>
                          <a:ext cx="6753225" cy="9525"/>
                        </a:xfrm>
                        <a:prstGeom prst="line">
                          <a:avLst/>
                        </a:prstGeom>
                        <a:ln w="381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180CC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8.5pt" to="533.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" strokecolor="red" strokeweight="3pt">
                <v:stroke joinstyle="miter"/>
              </v:line>
            </w:pict>
          </mc:Fallback>
        </mc:AlternateContent>
      </w:r>
    </w:p>
    <w:p w14:paraId="194B15B5" w14:textId="3185089A" w:rsidR="009205A0" w:rsidRPr="009205A0" w:rsidRDefault="000B7734" w:rsidP="009205A0">
      <w:pPr>
        <w:rPr>
          <w:b/>
          <w:bCs/>
          <w:sz w:val="22"/>
          <w:szCs w:val="22"/>
        </w:rPr>
      </w:pPr>
      <w:r w:rsidRPr="00E17FBC">
        <w:rPr>
          <w:b/>
          <w:bCs/>
          <w:sz w:val="22"/>
          <w:szCs w:val="22"/>
        </w:rPr>
        <w:drawing>
          <wp:anchor distT="0" distB="0" distL="114300" distR="114300" simplePos="0" relativeHeight="251658240" behindDoc="1" locked="0" layoutInCell="1" allowOverlap="1" wp14:anchorId="3FA255B7" wp14:editId="1E6ECFAB">
            <wp:simplePos x="0" y="0"/>
            <wp:positionH relativeFrom="margin">
              <wp:posOffset>0</wp:posOffset>
            </wp:positionH>
            <wp:positionV relativeFrom="paragraph">
              <wp:posOffset>1162685</wp:posOffset>
            </wp:positionV>
            <wp:extent cx="3019425" cy="875665"/>
            <wp:effectExtent l="0" t="0" r="9525" b="635"/>
            <wp:wrapTight wrapText="bothSides">
              <wp:wrapPolygon edited="0">
                <wp:start x="0" y="0"/>
                <wp:lineTo x="0" y="21146"/>
                <wp:lineTo x="21532" y="21146"/>
                <wp:lineTo x="21532" y="0"/>
                <wp:lineTo x="0" y="0"/>
              </wp:wrapPolygon>
            </wp:wrapTight>
            <wp:docPr id="313186932" name="Picture 2" descr="A cutout of the proposed state budget, with the amended text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utout of the proposed state budget, with the amended text in 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79C" w:rsidRPr="00E17FBC">
        <w:rPr>
          <w:b/>
          <w:bCs/>
          <w:sz w:val="22"/>
          <w:szCs w:val="22"/>
        </w:rPr>
        <w:t xml:space="preserve">The Wisconsin Supreme Court recently ruled that Governor Ever’s </w:t>
      </w:r>
      <w:r w:rsidR="009205A0" w:rsidRPr="00E17FBC">
        <w:rPr>
          <w:b/>
          <w:bCs/>
          <w:sz w:val="22"/>
          <w:szCs w:val="22"/>
        </w:rPr>
        <w:t xml:space="preserve">partial </w:t>
      </w:r>
      <w:proofErr w:type="gramStart"/>
      <w:r w:rsidR="007E679C" w:rsidRPr="00E17FBC">
        <w:rPr>
          <w:b/>
          <w:bCs/>
          <w:sz w:val="22"/>
          <w:szCs w:val="22"/>
        </w:rPr>
        <w:t>line item</w:t>
      </w:r>
      <w:proofErr w:type="gramEnd"/>
      <w:r w:rsidR="007E679C" w:rsidRPr="00E17FBC">
        <w:rPr>
          <w:b/>
          <w:bCs/>
          <w:sz w:val="22"/>
          <w:szCs w:val="22"/>
        </w:rPr>
        <w:t xml:space="preserve"> veto </w:t>
      </w:r>
      <w:r w:rsidR="009205A0" w:rsidRPr="00E17FBC">
        <w:rPr>
          <w:b/>
          <w:bCs/>
          <w:sz w:val="22"/>
          <w:szCs w:val="22"/>
        </w:rPr>
        <w:t xml:space="preserve">allowing a $325 increase per pupil through the year 2425 was legal. </w:t>
      </w:r>
      <w:r w:rsidR="009205A0" w:rsidRPr="00E17FBC">
        <w:rPr>
          <w:b/>
          <w:bCs/>
          <w:sz w:val="22"/>
          <w:szCs w:val="22"/>
        </w:rPr>
        <w:t xml:space="preserve">“We uphold the 2023 partial vetoes, and in doing so we are acutely aware that a 400-year modification is both significant and attention-grabbing,” Justice Jill J. </w:t>
      </w:r>
      <w:proofErr w:type="spellStart"/>
      <w:r w:rsidR="009205A0" w:rsidRPr="00E17FBC">
        <w:rPr>
          <w:b/>
          <w:bCs/>
          <w:sz w:val="22"/>
          <w:szCs w:val="22"/>
        </w:rPr>
        <w:t>Karofsky</w:t>
      </w:r>
      <w:proofErr w:type="spellEnd"/>
      <w:r w:rsidR="009205A0" w:rsidRPr="00E17FBC">
        <w:rPr>
          <w:b/>
          <w:bCs/>
          <w:sz w:val="22"/>
          <w:szCs w:val="22"/>
        </w:rPr>
        <w:t xml:space="preserve"> wrote in the majority opinion. “However, our Constitution does not limit the governor’s partial veto power based on how much or how little the partial vetoes change policy, even when that change is considerable.”</w:t>
      </w:r>
    </w:p>
    <w:p w14:paraId="5A2DEC41" w14:textId="7BE8EACF" w:rsidR="009205A0" w:rsidRPr="009205A0" w:rsidRDefault="009205A0" w:rsidP="009205A0">
      <w:pPr>
        <w:rPr>
          <w:b/>
          <w:bCs/>
          <w:sz w:val="20"/>
          <w:szCs w:val="20"/>
        </w:rPr>
      </w:pPr>
      <w:r w:rsidRPr="009205A0">
        <w:rPr>
          <w:b/>
          <w:bCs/>
          <w:sz w:val="20"/>
          <w:szCs w:val="20"/>
        </w:rPr>
        <w:t>The proposed state budget had outlined two years of revenue limit increases, for the 2023-24 and 2024-25 school years. By editing out the text in red, Mr. Evers allowed increases until 2425.</w:t>
      </w:r>
    </w:p>
    <w:p w14:paraId="233F64E1" w14:textId="3C2720E0" w:rsidR="007E679C" w:rsidRPr="00E17FBC" w:rsidRDefault="009205A0" w:rsidP="007E679C">
      <w:pPr>
        <w:rPr>
          <w:b/>
          <w:bCs/>
          <w:sz w:val="22"/>
          <w:szCs w:val="22"/>
        </w:rPr>
      </w:pPr>
      <w:r w:rsidRPr="00E17FBC">
        <w:rPr>
          <w:b/>
          <w:bCs/>
          <w:noProof/>
          <w:sz w:val="22"/>
          <w:szCs w:val="22"/>
        </w:rPr>
        <mc:AlternateContent>
          <mc:Choice Requires="wps">
            <w:drawing>
              <wp:anchor distT="0" distB="0" distL="114300" distR="114300" simplePos="0" relativeHeight="251661312" behindDoc="0" locked="0" layoutInCell="1" allowOverlap="1" wp14:anchorId="0AC3E54A" wp14:editId="2A026CFE">
                <wp:simplePos x="0" y="0"/>
                <wp:positionH relativeFrom="column">
                  <wp:posOffset>142875</wp:posOffset>
                </wp:positionH>
                <wp:positionV relativeFrom="paragraph">
                  <wp:posOffset>190500</wp:posOffset>
                </wp:positionV>
                <wp:extent cx="6753225" cy="9525"/>
                <wp:effectExtent l="19050" t="19050" r="28575" b="28575"/>
                <wp:wrapNone/>
                <wp:docPr id="304822701" name="Straight Connector 3"/>
                <wp:cNvGraphicFramePr/>
                <a:graphic xmlns:a="http://schemas.openxmlformats.org/drawingml/2006/main">
                  <a:graphicData uri="http://schemas.microsoft.com/office/word/2010/wordprocessingShape">
                    <wps:wsp>
                      <wps:cNvCnPr/>
                      <wps:spPr>
                        <a:xfrm flipV="1">
                          <a:off x="0" y="0"/>
                          <a:ext cx="6753225" cy="9525"/>
                        </a:xfrm>
                        <a:prstGeom prst="line">
                          <a:avLst/>
                        </a:prstGeom>
                        <a:ln w="381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CFBE5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25pt,15pt" to="54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" strokecolor="red" strokeweight="3pt">
                <v:stroke joinstyle="miter"/>
              </v:line>
            </w:pict>
          </mc:Fallback>
        </mc:AlternateContent>
      </w:r>
    </w:p>
    <w:p w14:paraId="15005E7E" w14:textId="7898B2F8" w:rsidR="00213F4A" w:rsidRPr="00E17FBC" w:rsidRDefault="009205A0" w:rsidP="007E679C">
      <w:pPr>
        <w:rPr>
          <w:b/>
          <w:bCs/>
          <w:sz w:val="22"/>
          <w:szCs w:val="22"/>
        </w:rPr>
      </w:pPr>
      <w:r w:rsidRPr="00E17FBC">
        <w:rPr>
          <w:b/>
          <w:bCs/>
          <w:sz w:val="22"/>
          <w:szCs w:val="22"/>
        </w:rPr>
        <w:t xml:space="preserve">More and more school districts are seeking to pass referendums </w:t>
      </w:r>
      <w:r w:rsidR="00886644" w:rsidRPr="00E17FBC">
        <w:rPr>
          <w:b/>
          <w:bCs/>
          <w:sz w:val="22"/>
          <w:szCs w:val="22"/>
        </w:rPr>
        <w:t>to</w:t>
      </w:r>
      <w:r w:rsidRPr="00E17FBC">
        <w:rPr>
          <w:b/>
          <w:bCs/>
          <w:sz w:val="22"/>
          <w:szCs w:val="22"/>
        </w:rPr>
        <w:t xml:space="preserve"> have sufficient funding </w:t>
      </w:r>
      <w:r w:rsidR="00886644" w:rsidRPr="00E17FBC">
        <w:rPr>
          <w:b/>
          <w:bCs/>
          <w:sz w:val="22"/>
          <w:szCs w:val="22"/>
        </w:rPr>
        <w:t xml:space="preserve">for </w:t>
      </w:r>
      <w:r w:rsidRPr="00E17FBC">
        <w:rPr>
          <w:b/>
          <w:bCs/>
          <w:sz w:val="22"/>
          <w:szCs w:val="22"/>
        </w:rPr>
        <w:t>maintain</w:t>
      </w:r>
      <w:r w:rsidR="00886644" w:rsidRPr="00E17FBC">
        <w:rPr>
          <w:b/>
          <w:bCs/>
          <w:sz w:val="22"/>
          <w:szCs w:val="22"/>
        </w:rPr>
        <w:t xml:space="preserve">ing </w:t>
      </w:r>
      <w:r w:rsidRPr="00E17FBC">
        <w:rPr>
          <w:b/>
          <w:bCs/>
          <w:sz w:val="22"/>
          <w:szCs w:val="22"/>
        </w:rPr>
        <w:t>current programs, salaries for staff, and upkeep of buildings.</w:t>
      </w:r>
    </w:p>
    <w:tbl>
      <w:tblPr>
        <w:tblStyle w:val="TableGrid"/>
        <w:tblW w:w="0" w:type="auto"/>
        <w:tblLook w:val="04A0" w:firstRow="1" w:lastRow="0" w:firstColumn="1" w:lastColumn="0" w:noHBand="0" w:noVBand="1"/>
      </w:tblPr>
      <w:tblGrid>
        <w:gridCol w:w="2697"/>
        <w:gridCol w:w="2697"/>
        <w:gridCol w:w="2698"/>
        <w:gridCol w:w="2698"/>
      </w:tblGrid>
      <w:tr w:rsidR="00213F4A" w:rsidRPr="00E17FBC" w14:paraId="344A73B3" w14:textId="77777777" w:rsidTr="00213F4A">
        <w:tc>
          <w:tcPr>
            <w:tcW w:w="2697" w:type="dxa"/>
          </w:tcPr>
          <w:p w14:paraId="19A07276" w14:textId="20ACC9D7" w:rsidR="00213F4A" w:rsidRPr="00E17FBC" w:rsidRDefault="00213F4A" w:rsidP="007E679C">
            <w:pPr>
              <w:rPr>
                <w:b/>
                <w:bCs/>
                <w:sz w:val="22"/>
                <w:szCs w:val="22"/>
              </w:rPr>
            </w:pPr>
            <w:r w:rsidRPr="00E17FBC">
              <w:rPr>
                <w:b/>
                <w:bCs/>
                <w:sz w:val="22"/>
                <w:szCs w:val="22"/>
              </w:rPr>
              <w:t>Date of Referendum</w:t>
            </w:r>
          </w:p>
        </w:tc>
        <w:tc>
          <w:tcPr>
            <w:tcW w:w="2697" w:type="dxa"/>
          </w:tcPr>
          <w:p w14:paraId="3B53DC01" w14:textId="5E1B2D8C" w:rsidR="00213F4A" w:rsidRPr="00E17FBC" w:rsidRDefault="00213F4A" w:rsidP="007E679C">
            <w:pPr>
              <w:rPr>
                <w:b/>
                <w:bCs/>
                <w:sz w:val="22"/>
                <w:szCs w:val="22"/>
              </w:rPr>
            </w:pPr>
            <w:r w:rsidRPr="00E17FBC">
              <w:rPr>
                <w:b/>
                <w:bCs/>
                <w:sz w:val="22"/>
                <w:szCs w:val="22"/>
              </w:rPr>
              <w:t>Number of Referendum on Ballot</w:t>
            </w:r>
          </w:p>
        </w:tc>
        <w:tc>
          <w:tcPr>
            <w:tcW w:w="2698" w:type="dxa"/>
          </w:tcPr>
          <w:p w14:paraId="1B2BE29D" w14:textId="5A163AD0" w:rsidR="00213F4A" w:rsidRPr="00E17FBC" w:rsidRDefault="00213F4A" w:rsidP="007E679C">
            <w:pPr>
              <w:rPr>
                <w:b/>
                <w:bCs/>
                <w:sz w:val="22"/>
                <w:szCs w:val="22"/>
              </w:rPr>
            </w:pPr>
            <w:r w:rsidRPr="00E17FBC">
              <w:rPr>
                <w:b/>
                <w:bCs/>
                <w:sz w:val="22"/>
                <w:szCs w:val="22"/>
              </w:rPr>
              <w:t>Number of Referendum PASSED</w:t>
            </w:r>
          </w:p>
        </w:tc>
        <w:tc>
          <w:tcPr>
            <w:tcW w:w="2698" w:type="dxa"/>
          </w:tcPr>
          <w:p w14:paraId="7DA1691D" w14:textId="3A1971A8" w:rsidR="00213F4A" w:rsidRPr="00E17FBC" w:rsidRDefault="00213F4A" w:rsidP="007E679C">
            <w:pPr>
              <w:rPr>
                <w:b/>
                <w:bCs/>
                <w:sz w:val="22"/>
                <w:szCs w:val="22"/>
              </w:rPr>
            </w:pPr>
            <w:r w:rsidRPr="00E17FBC">
              <w:rPr>
                <w:b/>
                <w:bCs/>
                <w:sz w:val="22"/>
                <w:szCs w:val="22"/>
              </w:rPr>
              <w:t>Number of Referendum FAILED</w:t>
            </w:r>
          </w:p>
        </w:tc>
      </w:tr>
      <w:tr w:rsidR="00213F4A" w:rsidRPr="00E17FBC" w14:paraId="43C3703C" w14:textId="77777777" w:rsidTr="00213F4A">
        <w:tc>
          <w:tcPr>
            <w:tcW w:w="2697" w:type="dxa"/>
          </w:tcPr>
          <w:p w14:paraId="26D95078" w14:textId="77777777" w:rsidR="00213F4A" w:rsidRPr="00E17FBC" w:rsidRDefault="00213F4A" w:rsidP="007E679C">
            <w:pPr>
              <w:rPr>
                <w:b/>
                <w:bCs/>
                <w:sz w:val="22"/>
                <w:szCs w:val="22"/>
              </w:rPr>
            </w:pPr>
            <w:r w:rsidRPr="00E17FBC">
              <w:rPr>
                <w:b/>
                <w:bCs/>
                <w:sz w:val="22"/>
                <w:szCs w:val="22"/>
              </w:rPr>
              <w:t>Spring 2024</w:t>
            </w:r>
          </w:p>
          <w:p w14:paraId="7940446E" w14:textId="5BE63F4E" w:rsidR="00213F4A" w:rsidRPr="00E17FBC" w:rsidRDefault="00213F4A" w:rsidP="007E679C">
            <w:pPr>
              <w:rPr>
                <w:b/>
                <w:bCs/>
                <w:sz w:val="22"/>
                <w:szCs w:val="22"/>
              </w:rPr>
            </w:pPr>
          </w:p>
        </w:tc>
        <w:tc>
          <w:tcPr>
            <w:tcW w:w="2697" w:type="dxa"/>
          </w:tcPr>
          <w:p w14:paraId="318E25C0" w14:textId="1E035A6D" w:rsidR="00213F4A" w:rsidRPr="00E17FBC" w:rsidRDefault="00213F4A" w:rsidP="007E679C">
            <w:pPr>
              <w:rPr>
                <w:b/>
                <w:bCs/>
                <w:sz w:val="22"/>
                <w:szCs w:val="22"/>
              </w:rPr>
            </w:pPr>
            <w:r w:rsidRPr="00E17FBC">
              <w:rPr>
                <w:b/>
                <w:bCs/>
                <w:sz w:val="22"/>
                <w:szCs w:val="22"/>
              </w:rPr>
              <w:t>103</w:t>
            </w:r>
          </w:p>
        </w:tc>
        <w:tc>
          <w:tcPr>
            <w:tcW w:w="2698" w:type="dxa"/>
          </w:tcPr>
          <w:p w14:paraId="354AFEE8" w14:textId="75DA247E" w:rsidR="00213F4A" w:rsidRPr="00E17FBC" w:rsidRDefault="00213F4A" w:rsidP="007E679C">
            <w:pPr>
              <w:rPr>
                <w:b/>
                <w:bCs/>
                <w:sz w:val="22"/>
                <w:szCs w:val="22"/>
              </w:rPr>
            </w:pPr>
            <w:r w:rsidRPr="00E17FBC">
              <w:rPr>
                <w:b/>
                <w:bCs/>
                <w:sz w:val="22"/>
                <w:szCs w:val="22"/>
              </w:rPr>
              <w:t>61</w:t>
            </w:r>
          </w:p>
        </w:tc>
        <w:tc>
          <w:tcPr>
            <w:tcW w:w="2698" w:type="dxa"/>
          </w:tcPr>
          <w:p w14:paraId="1921E10D" w14:textId="1F07E31A" w:rsidR="00213F4A" w:rsidRPr="00E17FBC" w:rsidRDefault="00213F4A" w:rsidP="007E679C">
            <w:pPr>
              <w:rPr>
                <w:b/>
                <w:bCs/>
                <w:sz w:val="22"/>
                <w:szCs w:val="22"/>
              </w:rPr>
            </w:pPr>
            <w:r w:rsidRPr="00E17FBC">
              <w:rPr>
                <w:b/>
                <w:bCs/>
                <w:sz w:val="22"/>
                <w:szCs w:val="22"/>
              </w:rPr>
              <w:t>42</w:t>
            </w:r>
          </w:p>
        </w:tc>
      </w:tr>
      <w:tr w:rsidR="00213F4A" w:rsidRPr="00E17FBC" w14:paraId="2B43B8F1" w14:textId="77777777" w:rsidTr="00213F4A">
        <w:tc>
          <w:tcPr>
            <w:tcW w:w="2697" w:type="dxa"/>
          </w:tcPr>
          <w:p w14:paraId="40043CF8" w14:textId="77777777" w:rsidR="00213F4A" w:rsidRPr="00E17FBC" w:rsidRDefault="00213F4A" w:rsidP="00213F4A">
            <w:pPr>
              <w:rPr>
                <w:b/>
                <w:bCs/>
                <w:sz w:val="22"/>
                <w:szCs w:val="22"/>
              </w:rPr>
            </w:pPr>
            <w:r w:rsidRPr="00E17FBC">
              <w:rPr>
                <w:b/>
                <w:bCs/>
                <w:sz w:val="22"/>
                <w:szCs w:val="22"/>
              </w:rPr>
              <w:t>Fall 2024</w:t>
            </w:r>
          </w:p>
          <w:p w14:paraId="3BB596B2" w14:textId="77777777" w:rsidR="00213F4A" w:rsidRPr="00E17FBC" w:rsidRDefault="00213F4A" w:rsidP="007E679C">
            <w:pPr>
              <w:rPr>
                <w:b/>
                <w:bCs/>
                <w:sz w:val="22"/>
                <w:szCs w:val="22"/>
              </w:rPr>
            </w:pPr>
          </w:p>
        </w:tc>
        <w:tc>
          <w:tcPr>
            <w:tcW w:w="2697" w:type="dxa"/>
          </w:tcPr>
          <w:p w14:paraId="40630FE4" w14:textId="6C0D5E4D" w:rsidR="00213F4A" w:rsidRPr="00E17FBC" w:rsidRDefault="00886644" w:rsidP="007E679C">
            <w:pPr>
              <w:rPr>
                <w:b/>
                <w:bCs/>
                <w:sz w:val="22"/>
                <w:szCs w:val="22"/>
              </w:rPr>
            </w:pPr>
            <w:r w:rsidRPr="00E17FBC">
              <w:rPr>
                <w:b/>
                <w:bCs/>
                <w:sz w:val="22"/>
                <w:szCs w:val="22"/>
              </w:rPr>
              <w:t>140</w:t>
            </w:r>
          </w:p>
        </w:tc>
        <w:tc>
          <w:tcPr>
            <w:tcW w:w="2698" w:type="dxa"/>
          </w:tcPr>
          <w:p w14:paraId="336586E1" w14:textId="60AA6A0E" w:rsidR="00213F4A" w:rsidRPr="00E17FBC" w:rsidRDefault="00886644" w:rsidP="007E679C">
            <w:pPr>
              <w:rPr>
                <w:b/>
                <w:bCs/>
                <w:sz w:val="22"/>
                <w:szCs w:val="22"/>
              </w:rPr>
            </w:pPr>
            <w:r w:rsidRPr="00E17FBC">
              <w:rPr>
                <w:b/>
                <w:bCs/>
                <w:sz w:val="22"/>
                <w:szCs w:val="22"/>
              </w:rPr>
              <w:t>109</w:t>
            </w:r>
          </w:p>
        </w:tc>
        <w:tc>
          <w:tcPr>
            <w:tcW w:w="2698" w:type="dxa"/>
          </w:tcPr>
          <w:p w14:paraId="58F4328A" w14:textId="6C2B1971" w:rsidR="00213F4A" w:rsidRPr="00E17FBC" w:rsidRDefault="00886644" w:rsidP="007E679C">
            <w:pPr>
              <w:rPr>
                <w:b/>
                <w:bCs/>
                <w:sz w:val="22"/>
                <w:szCs w:val="22"/>
              </w:rPr>
            </w:pPr>
            <w:r w:rsidRPr="00E17FBC">
              <w:rPr>
                <w:b/>
                <w:bCs/>
                <w:sz w:val="22"/>
                <w:szCs w:val="22"/>
              </w:rPr>
              <w:t>31</w:t>
            </w:r>
          </w:p>
        </w:tc>
      </w:tr>
      <w:tr w:rsidR="00213F4A" w:rsidRPr="00E17FBC" w14:paraId="1F21C2B2" w14:textId="77777777" w:rsidTr="00213F4A">
        <w:tc>
          <w:tcPr>
            <w:tcW w:w="2697" w:type="dxa"/>
          </w:tcPr>
          <w:p w14:paraId="0E814B9D" w14:textId="77777777" w:rsidR="00213F4A" w:rsidRPr="00E17FBC" w:rsidRDefault="00213F4A" w:rsidP="00213F4A">
            <w:pPr>
              <w:rPr>
                <w:b/>
                <w:bCs/>
                <w:sz w:val="22"/>
                <w:szCs w:val="22"/>
              </w:rPr>
            </w:pPr>
            <w:r w:rsidRPr="00E17FBC">
              <w:rPr>
                <w:b/>
                <w:bCs/>
                <w:sz w:val="22"/>
                <w:szCs w:val="22"/>
              </w:rPr>
              <w:t>Spring 2025</w:t>
            </w:r>
          </w:p>
          <w:p w14:paraId="601AC31A" w14:textId="77777777" w:rsidR="00213F4A" w:rsidRPr="00E17FBC" w:rsidRDefault="00213F4A" w:rsidP="007E679C">
            <w:pPr>
              <w:rPr>
                <w:b/>
                <w:bCs/>
                <w:sz w:val="22"/>
                <w:szCs w:val="22"/>
              </w:rPr>
            </w:pPr>
          </w:p>
        </w:tc>
        <w:tc>
          <w:tcPr>
            <w:tcW w:w="2697" w:type="dxa"/>
          </w:tcPr>
          <w:p w14:paraId="7DBB9635" w14:textId="771919AA" w:rsidR="00213F4A" w:rsidRPr="00E17FBC" w:rsidRDefault="00213F4A" w:rsidP="007E679C">
            <w:pPr>
              <w:rPr>
                <w:b/>
                <w:bCs/>
                <w:sz w:val="22"/>
                <w:szCs w:val="22"/>
              </w:rPr>
            </w:pPr>
            <w:r w:rsidRPr="00E17FBC">
              <w:rPr>
                <w:b/>
                <w:bCs/>
                <w:sz w:val="22"/>
                <w:szCs w:val="22"/>
              </w:rPr>
              <w:t>94</w:t>
            </w:r>
          </w:p>
        </w:tc>
        <w:tc>
          <w:tcPr>
            <w:tcW w:w="2698" w:type="dxa"/>
          </w:tcPr>
          <w:p w14:paraId="207E6053" w14:textId="2ABF2390" w:rsidR="00213F4A" w:rsidRPr="00E17FBC" w:rsidRDefault="00886644" w:rsidP="007E679C">
            <w:pPr>
              <w:rPr>
                <w:b/>
                <w:bCs/>
                <w:sz w:val="22"/>
                <w:szCs w:val="22"/>
              </w:rPr>
            </w:pPr>
            <w:r w:rsidRPr="00E17FBC">
              <w:rPr>
                <w:b/>
                <w:bCs/>
                <w:sz w:val="22"/>
                <w:szCs w:val="22"/>
              </w:rPr>
              <w:t>53</w:t>
            </w:r>
          </w:p>
        </w:tc>
        <w:tc>
          <w:tcPr>
            <w:tcW w:w="2698" w:type="dxa"/>
          </w:tcPr>
          <w:p w14:paraId="2B420760" w14:textId="650F1455" w:rsidR="00213F4A" w:rsidRPr="00E17FBC" w:rsidRDefault="00886644" w:rsidP="007E679C">
            <w:pPr>
              <w:rPr>
                <w:b/>
                <w:bCs/>
                <w:sz w:val="22"/>
                <w:szCs w:val="22"/>
              </w:rPr>
            </w:pPr>
            <w:r w:rsidRPr="00E17FBC">
              <w:rPr>
                <w:b/>
                <w:bCs/>
                <w:sz w:val="22"/>
                <w:szCs w:val="22"/>
              </w:rPr>
              <w:t>41</w:t>
            </w:r>
          </w:p>
        </w:tc>
      </w:tr>
    </w:tbl>
    <w:p w14:paraId="13DB38DD" w14:textId="327D8913" w:rsidR="009205A0" w:rsidRPr="00E17FBC" w:rsidRDefault="009205A0" w:rsidP="007E679C">
      <w:pPr>
        <w:rPr>
          <w:b/>
          <w:bCs/>
          <w:sz w:val="22"/>
          <w:szCs w:val="22"/>
        </w:rPr>
      </w:pPr>
    </w:p>
    <w:p w14:paraId="686BBA58" w14:textId="2A4503F6" w:rsidR="007C590D" w:rsidRDefault="00886644" w:rsidP="007C590D">
      <w:pPr>
        <w:rPr>
          <w:b/>
          <w:bCs/>
          <w:sz w:val="22"/>
          <w:szCs w:val="22"/>
        </w:rPr>
      </w:pPr>
      <w:r w:rsidRPr="00E17FBC">
        <w:rPr>
          <w:b/>
          <w:bCs/>
          <w:sz w:val="22"/>
          <w:szCs w:val="22"/>
        </w:rPr>
        <w:t>Districts which do not pass referendum fall farther and farther behind</w:t>
      </w:r>
      <w:r w:rsidR="007C590D" w:rsidRPr="00E17FBC">
        <w:rPr>
          <w:b/>
          <w:bCs/>
          <w:sz w:val="22"/>
          <w:szCs w:val="22"/>
        </w:rPr>
        <w:t>.  U</w:t>
      </w:r>
      <w:r w:rsidR="007C590D" w:rsidRPr="00E17FBC">
        <w:rPr>
          <w:b/>
          <w:bCs/>
          <w:sz w:val="22"/>
          <w:szCs w:val="22"/>
        </w:rPr>
        <w:t xml:space="preserve">nder 2017 Act 141, if a district failed to pass an operating referendum in one of the three school years prior to a given school year, and it does not subsequently succeed in passing an operating referendum, </w:t>
      </w:r>
      <w:r w:rsidR="007C590D" w:rsidRPr="00E17FBC">
        <w:rPr>
          <w:b/>
          <w:bCs/>
          <w:sz w:val="22"/>
          <w:szCs w:val="22"/>
        </w:rPr>
        <w:t>the low revenue ceiling</w:t>
      </w:r>
      <w:r w:rsidR="007C590D" w:rsidRPr="00E17FBC">
        <w:rPr>
          <w:b/>
          <w:bCs/>
          <w:sz w:val="22"/>
          <w:szCs w:val="22"/>
        </w:rPr>
        <w:t xml:space="preserve"> </w:t>
      </w:r>
      <w:r w:rsidR="007C590D" w:rsidRPr="00E17FBC">
        <w:rPr>
          <w:b/>
          <w:bCs/>
          <w:sz w:val="22"/>
          <w:szCs w:val="22"/>
        </w:rPr>
        <w:t xml:space="preserve">(LRC) </w:t>
      </w:r>
      <w:r w:rsidR="007C590D" w:rsidRPr="00E17FBC">
        <w:rPr>
          <w:b/>
          <w:bCs/>
          <w:sz w:val="22"/>
          <w:szCs w:val="22"/>
        </w:rPr>
        <w:t>amount to which that district is subject is frozen for three years</w:t>
      </w:r>
      <w:r w:rsidR="007C590D" w:rsidRPr="00E17FBC">
        <w:rPr>
          <w:b/>
          <w:bCs/>
          <w:sz w:val="22"/>
          <w:szCs w:val="22"/>
        </w:rPr>
        <w:t xml:space="preserve">. </w:t>
      </w:r>
      <w:r w:rsidR="007C590D" w:rsidRPr="007C590D">
        <w:rPr>
          <w:b/>
          <w:bCs/>
          <w:sz w:val="22"/>
          <w:szCs w:val="22"/>
        </w:rPr>
        <w:t>For example, if a district held a failed operating referendum (recurring or nonrecurring) during 2023-24, the per pupil LRC would be $11,000 for the three years following the failed referendum: 2024-25, 2025-26, and 2026-27. If the district subsequently passes an operating referendum, the three-year freeze of the LRC is removed, effective the year after passage of the referendum.</w:t>
      </w:r>
    </w:p>
    <w:p w14:paraId="252398A8" w14:textId="12D6E341" w:rsidR="00886644" w:rsidRPr="00E17FBC" w:rsidRDefault="00402123" w:rsidP="007E679C">
      <w:pPr>
        <w:rPr>
          <w:b/>
          <w:bCs/>
          <w:sz w:val="22"/>
          <w:szCs w:val="22"/>
        </w:rPr>
      </w:pPr>
      <w:r>
        <w:rPr>
          <w:b/>
          <w:bCs/>
          <w:sz w:val="22"/>
          <w:szCs w:val="22"/>
        </w:rPr>
        <w:t xml:space="preserve">Per an article by Anne Chapman, Research Director for the </w:t>
      </w:r>
      <w:r w:rsidR="0057033F" w:rsidRPr="00E17FBC">
        <w:rPr>
          <w:b/>
          <w:bCs/>
          <w:sz w:val="22"/>
          <w:szCs w:val="22"/>
        </w:rPr>
        <w:t xml:space="preserve">Wisconsin Association of School Business Officials (WASBO) </w:t>
      </w:r>
      <w:r w:rsidR="00E40E4F">
        <w:rPr>
          <w:b/>
          <w:bCs/>
          <w:sz w:val="22"/>
          <w:szCs w:val="22"/>
        </w:rPr>
        <w:t xml:space="preserve">, a series </w:t>
      </w:r>
      <w:r w:rsidR="0057033F" w:rsidRPr="0057033F">
        <w:rPr>
          <w:b/>
          <w:bCs/>
          <w:sz w:val="22"/>
          <w:szCs w:val="22"/>
        </w:rPr>
        <w:t>of state policy decisions over the last 30 years have left public schools increasingly under-resourced. As a result, a school district’s ability to persuade local taxpayers to pass operating referendums has evolved into an essential component of Wisconsin’s school finance system. </w:t>
      </w:r>
      <w:r w:rsidR="005016C0" w:rsidRPr="005016C0">
        <w:rPr>
          <w:b/>
          <w:bCs/>
          <w:sz w:val="22"/>
          <w:szCs w:val="22"/>
        </w:rPr>
        <w:t>The pervasive and growing use of operating referendums as a vital strategy on which school districts have come to rely originates in three overriding state-level drivers: 1) annual general spending authority that is not based on educational need and does not keep pace with inflation, 2) declining enrollment, and 3) minimal support for mandated special education costs.</w:t>
      </w:r>
      <w:r w:rsidR="000B7734">
        <w:rPr>
          <w:b/>
          <w:bCs/>
          <w:sz w:val="22"/>
          <w:szCs w:val="22"/>
        </w:rPr>
        <w:t xml:space="preserve">  (</w:t>
      </w:r>
      <w:hyperlink r:id="rId7" w:history="1">
        <w:r w:rsidR="000B7734" w:rsidRPr="000B7734">
          <w:rPr>
            <w:rStyle w:val="Hyperlink"/>
            <w:b/>
            <w:bCs/>
            <w:sz w:val="22"/>
            <w:szCs w:val="22"/>
          </w:rPr>
          <w:t>School referendums are sending a clear message - Central Wisconsin News</w:t>
        </w:r>
      </w:hyperlink>
      <w:r w:rsidR="000B7734">
        <w:rPr>
          <w:b/>
          <w:bCs/>
          <w:sz w:val="22"/>
          <w:szCs w:val="22"/>
        </w:rPr>
        <w:t>)</w:t>
      </w:r>
    </w:p>
    <w:sectPr w:rsidR="00886644" w:rsidRPr="00E17FBC" w:rsidSect="007E67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1B"/>
    <w:rsid w:val="00012362"/>
    <w:rsid w:val="000855B1"/>
    <w:rsid w:val="000B7734"/>
    <w:rsid w:val="00213F4A"/>
    <w:rsid w:val="003A3D9C"/>
    <w:rsid w:val="00402123"/>
    <w:rsid w:val="00455076"/>
    <w:rsid w:val="005016C0"/>
    <w:rsid w:val="0057033F"/>
    <w:rsid w:val="00693F05"/>
    <w:rsid w:val="007C590D"/>
    <w:rsid w:val="007E679C"/>
    <w:rsid w:val="00886644"/>
    <w:rsid w:val="008A19A4"/>
    <w:rsid w:val="0091142A"/>
    <w:rsid w:val="009205A0"/>
    <w:rsid w:val="009570B6"/>
    <w:rsid w:val="00C10DA0"/>
    <w:rsid w:val="00C819A9"/>
    <w:rsid w:val="00D97AAD"/>
    <w:rsid w:val="00E17FBC"/>
    <w:rsid w:val="00E40E4F"/>
    <w:rsid w:val="00ED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3BF5"/>
  <w15:chartTrackingRefBased/>
  <w15:docId w15:val="{68C33E7E-61EC-4B50-B19A-329CA720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C1B"/>
    <w:rPr>
      <w:rFonts w:eastAsiaTheme="majorEastAsia" w:cstheme="majorBidi"/>
      <w:color w:val="272727" w:themeColor="text1" w:themeTint="D8"/>
    </w:rPr>
  </w:style>
  <w:style w:type="paragraph" w:styleId="Title">
    <w:name w:val="Title"/>
    <w:basedOn w:val="Normal"/>
    <w:next w:val="Normal"/>
    <w:link w:val="TitleChar"/>
    <w:uiPriority w:val="10"/>
    <w:qFormat/>
    <w:rsid w:val="00ED4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C1B"/>
    <w:pPr>
      <w:spacing w:before="160"/>
      <w:jc w:val="center"/>
    </w:pPr>
    <w:rPr>
      <w:i/>
      <w:iCs/>
      <w:color w:val="404040" w:themeColor="text1" w:themeTint="BF"/>
    </w:rPr>
  </w:style>
  <w:style w:type="character" w:customStyle="1" w:styleId="QuoteChar">
    <w:name w:val="Quote Char"/>
    <w:basedOn w:val="DefaultParagraphFont"/>
    <w:link w:val="Quote"/>
    <w:uiPriority w:val="29"/>
    <w:rsid w:val="00ED4C1B"/>
    <w:rPr>
      <w:i/>
      <w:iCs/>
      <w:color w:val="404040" w:themeColor="text1" w:themeTint="BF"/>
    </w:rPr>
  </w:style>
  <w:style w:type="paragraph" w:styleId="ListParagraph">
    <w:name w:val="List Paragraph"/>
    <w:basedOn w:val="Normal"/>
    <w:uiPriority w:val="34"/>
    <w:qFormat/>
    <w:rsid w:val="00ED4C1B"/>
    <w:pPr>
      <w:ind w:left="720"/>
      <w:contextualSpacing/>
    </w:pPr>
  </w:style>
  <w:style w:type="character" w:styleId="IntenseEmphasis">
    <w:name w:val="Intense Emphasis"/>
    <w:basedOn w:val="DefaultParagraphFont"/>
    <w:uiPriority w:val="21"/>
    <w:qFormat/>
    <w:rsid w:val="00ED4C1B"/>
    <w:rPr>
      <w:i/>
      <w:iCs/>
      <w:color w:val="0F4761" w:themeColor="accent1" w:themeShade="BF"/>
    </w:rPr>
  </w:style>
  <w:style w:type="paragraph" w:styleId="IntenseQuote">
    <w:name w:val="Intense Quote"/>
    <w:basedOn w:val="Normal"/>
    <w:next w:val="Normal"/>
    <w:link w:val="IntenseQuoteChar"/>
    <w:uiPriority w:val="30"/>
    <w:qFormat/>
    <w:rsid w:val="00ED4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C1B"/>
    <w:rPr>
      <w:i/>
      <w:iCs/>
      <w:color w:val="0F4761" w:themeColor="accent1" w:themeShade="BF"/>
    </w:rPr>
  </w:style>
  <w:style w:type="character" w:styleId="IntenseReference">
    <w:name w:val="Intense Reference"/>
    <w:basedOn w:val="DefaultParagraphFont"/>
    <w:uiPriority w:val="32"/>
    <w:qFormat/>
    <w:rsid w:val="00ED4C1B"/>
    <w:rPr>
      <w:b/>
      <w:bCs/>
      <w:smallCaps/>
      <w:color w:val="0F4761" w:themeColor="accent1" w:themeShade="BF"/>
      <w:spacing w:val="5"/>
    </w:rPr>
  </w:style>
  <w:style w:type="table" w:styleId="TableGrid">
    <w:name w:val="Table Grid"/>
    <w:basedOn w:val="TableNormal"/>
    <w:uiPriority w:val="39"/>
    <w:rsid w:val="00ED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679C"/>
    <w:rPr>
      <w:color w:val="467886" w:themeColor="hyperlink"/>
      <w:u w:val="single"/>
    </w:rPr>
  </w:style>
  <w:style w:type="character" w:styleId="UnresolvedMention">
    <w:name w:val="Unresolved Mention"/>
    <w:basedOn w:val="DefaultParagraphFont"/>
    <w:uiPriority w:val="99"/>
    <w:semiHidden/>
    <w:unhideWhenUsed/>
    <w:rsid w:val="007E679C"/>
    <w:rPr>
      <w:color w:val="605E5C"/>
      <w:shd w:val="clear" w:color="auto" w:fill="E1DFDD"/>
    </w:rPr>
  </w:style>
  <w:style w:type="paragraph" w:styleId="NormalWeb">
    <w:name w:val="Normal (Web)"/>
    <w:basedOn w:val="Normal"/>
    <w:uiPriority w:val="99"/>
    <w:semiHidden/>
    <w:unhideWhenUsed/>
    <w:rsid w:val="007C59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279442">
      <w:bodyDiv w:val="1"/>
      <w:marLeft w:val="0"/>
      <w:marRight w:val="0"/>
      <w:marTop w:val="0"/>
      <w:marBottom w:val="0"/>
      <w:divBdr>
        <w:top w:val="none" w:sz="0" w:space="0" w:color="auto"/>
        <w:left w:val="none" w:sz="0" w:space="0" w:color="auto"/>
        <w:bottom w:val="none" w:sz="0" w:space="0" w:color="auto"/>
        <w:right w:val="none" w:sz="0" w:space="0" w:color="auto"/>
      </w:divBdr>
    </w:div>
    <w:div w:id="944921052">
      <w:bodyDiv w:val="1"/>
      <w:marLeft w:val="0"/>
      <w:marRight w:val="0"/>
      <w:marTop w:val="0"/>
      <w:marBottom w:val="0"/>
      <w:divBdr>
        <w:top w:val="none" w:sz="0" w:space="0" w:color="auto"/>
        <w:left w:val="none" w:sz="0" w:space="0" w:color="auto"/>
        <w:bottom w:val="none" w:sz="0" w:space="0" w:color="auto"/>
        <w:right w:val="none" w:sz="0" w:space="0" w:color="auto"/>
      </w:divBdr>
      <w:divsChild>
        <w:div w:id="852652107">
          <w:marLeft w:val="0"/>
          <w:marRight w:val="0"/>
          <w:marTop w:val="0"/>
          <w:marBottom w:val="0"/>
          <w:divBdr>
            <w:top w:val="none" w:sz="0" w:space="0" w:color="auto"/>
            <w:left w:val="none" w:sz="0" w:space="0" w:color="auto"/>
            <w:bottom w:val="none" w:sz="0" w:space="0" w:color="auto"/>
            <w:right w:val="none" w:sz="0" w:space="0" w:color="auto"/>
          </w:divBdr>
          <w:divsChild>
            <w:div w:id="2051149840">
              <w:marLeft w:val="0"/>
              <w:marRight w:val="0"/>
              <w:marTop w:val="0"/>
              <w:marBottom w:val="0"/>
              <w:divBdr>
                <w:top w:val="none" w:sz="0" w:space="0" w:color="auto"/>
                <w:left w:val="none" w:sz="0" w:space="0" w:color="auto"/>
                <w:bottom w:val="none" w:sz="0" w:space="0" w:color="auto"/>
                <w:right w:val="none" w:sz="0" w:space="0" w:color="auto"/>
              </w:divBdr>
            </w:div>
          </w:divsChild>
        </w:div>
        <w:div w:id="1322656317">
          <w:marLeft w:val="0"/>
          <w:marRight w:val="0"/>
          <w:marTop w:val="0"/>
          <w:marBottom w:val="0"/>
          <w:divBdr>
            <w:top w:val="none" w:sz="0" w:space="0" w:color="auto"/>
            <w:left w:val="none" w:sz="0" w:space="0" w:color="auto"/>
            <w:bottom w:val="none" w:sz="0" w:space="0" w:color="auto"/>
            <w:right w:val="none" w:sz="0" w:space="0" w:color="auto"/>
          </w:divBdr>
          <w:divsChild>
            <w:div w:id="2136412587">
              <w:marLeft w:val="0"/>
              <w:marRight w:val="0"/>
              <w:marTop w:val="0"/>
              <w:marBottom w:val="0"/>
              <w:divBdr>
                <w:top w:val="none" w:sz="0" w:space="0" w:color="auto"/>
                <w:left w:val="none" w:sz="0" w:space="0" w:color="auto"/>
                <w:bottom w:val="none" w:sz="0" w:space="0" w:color="auto"/>
                <w:right w:val="none" w:sz="0" w:space="0" w:color="auto"/>
              </w:divBdr>
              <w:divsChild>
                <w:div w:id="194735255">
                  <w:marLeft w:val="0"/>
                  <w:marRight w:val="0"/>
                  <w:marTop w:val="0"/>
                  <w:marBottom w:val="0"/>
                  <w:divBdr>
                    <w:top w:val="none" w:sz="0" w:space="0" w:color="auto"/>
                    <w:left w:val="none" w:sz="0" w:space="0" w:color="auto"/>
                    <w:bottom w:val="none" w:sz="0" w:space="0" w:color="auto"/>
                    <w:right w:val="none" w:sz="0" w:space="0" w:color="auto"/>
                  </w:divBdr>
                  <w:divsChild>
                    <w:div w:id="1097873776">
                      <w:marLeft w:val="0"/>
                      <w:marRight w:val="0"/>
                      <w:marTop w:val="0"/>
                      <w:marBottom w:val="0"/>
                      <w:divBdr>
                        <w:top w:val="none" w:sz="0" w:space="0" w:color="auto"/>
                        <w:left w:val="none" w:sz="0" w:space="0" w:color="auto"/>
                        <w:bottom w:val="none" w:sz="0" w:space="0" w:color="auto"/>
                        <w:right w:val="none" w:sz="0" w:space="0" w:color="auto"/>
                      </w:divBdr>
                      <w:divsChild>
                        <w:div w:id="2681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6762">
          <w:marLeft w:val="0"/>
          <w:marRight w:val="0"/>
          <w:marTop w:val="0"/>
          <w:marBottom w:val="0"/>
          <w:divBdr>
            <w:top w:val="none" w:sz="0" w:space="0" w:color="auto"/>
            <w:left w:val="none" w:sz="0" w:space="0" w:color="auto"/>
            <w:bottom w:val="none" w:sz="0" w:space="0" w:color="auto"/>
            <w:right w:val="none" w:sz="0" w:space="0" w:color="auto"/>
          </w:divBdr>
          <w:divsChild>
            <w:div w:id="4253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3616">
      <w:bodyDiv w:val="1"/>
      <w:marLeft w:val="0"/>
      <w:marRight w:val="0"/>
      <w:marTop w:val="0"/>
      <w:marBottom w:val="0"/>
      <w:divBdr>
        <w:top w:val="none" w:sz="0" w:space="0" w:color="auto"/>
        <w:left w:val="none" w:sz="0" w:space="0" w:color="auto"/>
        <w:bottom w:val="none" w:sz="0" w:space="0" w:color="auto"/>
        <w:right w:val="none" w:sz="0" w:space="0" w:color="auto"/>
      </w:divBdr>
    </w:div>
    <w:div w:id="1525171126">
      <w:bodyDiv w:val="1"/>
      <w:marLeft w:val="0"/>
      <w:marRight w:val="0"/>
      <w:marTop w:val="0"/>
      <w:marBottom w:val="0"/>
      <w:divBdr>
        <w:top w:val="none" w:sz="0" w:space="0" w:color="auto"/>
        <w:left w:val="none" w:sz="0" w:space="0" w:color="auto"/>
        <w:bottom w:val="none" w:sz="0" w:space="0" w:color="auto"/>
        <w:right w:val="none" w:sz="0" w:space="0" w:color="auto"/>
      </w:divBdr>
      <w:divsChild>
        <w:div w:id="1842042606">
          <w:marLeft w:val="0"/>
          <w:marRight w:val="0"/>
          <w:marTop w:val="0"/>
          <w:marBottom w:val="0"/>
          <w:divBdr>
            <w:top w:val="none" w:sz="0" w:space="0" w:color="auto"/>
            <w:left w:val="none" w:sz="0" w:space="0" w:color="auto"/>
            <w:bottom w:val="none" w:sz="0" w:space="0" w:color="auto"/>
            <w:right w:val="none" w:sz="0" w:space="0" w:color="auto"/>
          </w:divBdr>
          <w:divsChild>
            <w:div w:id="1497454678">
              <w:marLeft w:val="0"/>
              <w:marRight w:val="0"/>
              <w:marTop w:val="0"/>
              <w:marBottom w:val="0"/>
              <w:divBdr>
                <w:top w:val="none" w:sz="0" w:space="0" w:color="auto"/>
                <w:left w:val="none" w:sz="0" w:space="0" w:color="auto"/>
                <w:bottom w:val="none" w:sz="0" w:space="0" w:color="auto"/>
                <w:right w:val="none" w:sz="0" w:space="0" w:color="auto"/>
              </w:divBdr>
            </w:div>
          </w:divsChild>
        </w:div>
        <w:div w:id="1644575223">
          <w:marLeft w:val="0"/>
          <w:marRight w:val="0"/>
          <w:marTop w:val="0"/>
          <w:marBottom w:val="0"/>
          <w:divBdr>
            <w:top w:val="none" w:sz="0" w:space="0" w:color="auto"/>
            <w:left w:val="none" w:sz="0" w:space="0" w:color="auto"/>
            <w:bottom w:val="none" w:sz="0" w:space="0" w:color="auto"/>
            <w:right w:val="none" w:sz="0" w:space="0" w:color="auto"/>
          </w:divBdr>
          <w:divsChild>
            <w:div w:id="342785215">
              <w:marLeft w:val="0"/>
              <w:marRight w:val="0"/>
              <w:marTop w:val="0"/>
              <w:marBottom w:val="0"/>
              <w:divBdr>
                <w:top w:val="none" w:sz="0" w:space="0" w:color="auto"/>
                <w:left w:val="none" w:sz="0" w:space="0" w:color="auto"/>
                <w:bottom w:val="none" w:sz="0" w:space="0" w:color="auto"/>
                <w:right w:val="none" w:sz="0" w:space="0" w:color="auto"/>
              </w:divBdr>
              <w:divsChild>
                <w:div w:id="1407145570">
                  <w:marLeft w:val="0"/>
                  <w:marRight w:val="0"/>
                  <w:marTop w:val="0"/>
                  <w:marBottom w:val="0"/>
                  <w:divBdr>
                    <w:top w:val="none" w:sz="0" w:space="0" w:color="auto"/>
                    <w:left w:val="none" w:sz="0" w:space="0" w:color="auto"/>
                    <w:bottom w:val="none" w:sz="0" w:space="0" w:color="auto"/>
                    <w:right w:val="none" w:sz="0" w:space="0" w:color="auto"/>
                  </w:divBdr>
                  <w:divsChild>
                    <w:div w:id="542181736">
                      <w:marLeft w:val="0"/>
                      <w:marRight w:val="0"/>
                      <w:marTop w:val="0"/>
                      <w:marBottom w:val="0"/>
                      <w:divBdr>
                        <w:top w:val="none" w:sz="0" w:space="0" w:color="auto"/>
                        <w:left w:val="none" w:sz="0" w:space="0" w:color="auto"/>
                        <w:bottom w:val="none" w:sz="0" w:space="0" w:color="auto"/>
                        <w:right w:val="none" w:sz="0" w:space="0" w:color="auto"/>
                      </w:divBdr>
                      <w:divsChild>
                        <w:div w:id="20603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7198">
          <w:marLeft w:val="0"/>
          <w:marRight w:val="0"/>
          <w:marTop w:val="0"/>
          <w:marBottom w:val="0"/>
          <w:divBdr>
            <w:top w:val="none" w:sz="0" w:space="0" w:color="auto"/>
            <w:left w:val="none" w:sz="0" w:space="0" w:color="auto"/>
            <w:bottom w:val="none" w:sz="0" w:space="0" w:color="auto"/>
            <w:right w:val="none" w:sz="0" w:space="0" w:color="auto"/>
          </w:divBdr>
          <w:divsChild>
            <w:div w:id="10847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ntralwinews.com/recordgleaner/2025/01/07/school-referendums-are-sending-a-clear-message/?destination=star-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Anne.Chapman@wasbo.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Zahrte</dc:creator>
  <cp:keywords/>
  <dc:description/>
  <cp:lastModifiedBy>Cindy Zahrte</cp:lastModifiedBy>
  <cp:revision>12</cp:revision>
  <dcterms:created xsi:type="dcterms:W3CDTF">2025-04-22T00:43:00Z</dcterms:created>
  <dcterms:modified xsi:type="dcterms:W3CDTF">2025-04-22T02:47:00Z</dcterms:modified>
</cp:coreProperties>
</file>